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220BAA">
        <w:rPr>
          <w:rFonts w:ascii="Times New Roman" w:hAnsi="Times New Roman"/>
          <w:b/>
          <w:sz w:val="32"/>
          <w:szCs w:val="32"/>
        </w:rPr>
        <w:t xml:space="preserve">(DRAFT)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220BAA" w:rsidRDefault="00622EA0" w:rsidP="00843439">
      <w:pPr>
        <w:tabs>
          <w:tab w:val="left" w:pos="3735"/>
        </w:tabs>
        <w:jc w:val="both"/>
        <w:rPr>
          <w:rFonts w:ascii="Times New Roman" w:hAnsi="Times New Roman"/>
          <w:sz w:val="24"/>
          <w:szCs w:val="24"/>
        </w:rPr>
      </w:pPr>
      <w:r w:rsidRPr="00220BAA">
        <w:rPr>
          <w:rFonts w:ascii="Times New Roman" w:hAnsi="Times New Roman"/>
          <w:sz w:val="24"/>
          <w:szCs w:val="24"/>
        </w:rPr>
        <w:tab/>
      </w:r>
    </w:p>
    <w:p w:rsidR="00622EA0" w:rsidRPr="00220BAA" w:rsidRDefault="00622EA0" w:rsidP="00843439">
      <w:pPr>
        <w:tabs>
          <w:tab w:val="left" w:pos="3735"/>
        </w:tabs>
        <w:jc w:val="both"/>
        <w:rPr>
          <w:rFonts w:ascii="Times New Roman" w:hAnsi="Times New Roman"/>
          <w:sz w:val="24"/>
          <w:szCs w:val="24"/>
        </w:rPr>
      </w:pPr>
    </w:p>
    <w:p w:rsidR="00C978D8" w:rsidRPr="00C978D8" w:rsidRDefault="00C978D8" w:rsidP="00C978D8">
      <w:pPr>
        <w:autoSpaceDE w:val="0"/>
        <w:autoSpaceDN w:val="0"/>
        <w:adjustRightInd w:val="0"/>
        <w:spacing w:line="240" w:lineRule="auto"/>
        <w:jc w:val="center"/>
        <w:rPr>
          <w:rFonts w:ascii="TimesNewRomanPS-BoldMT" w:eastAsiaTheme="minorHAnsi" w:hAnsi="TimesNewRomanPS-BoldMT" w:cs="TimesNewRomanPS-BoldMT"/>
          <w:b/>
          <w:bCs/>
          <w:sz w:val="24"/>
          <w:szCs w:val="36"/>
          <w:lang w:val="en-GB"/>
        </w:rPr>
      </w:pPr>
      <w:r>
        <w:rPr>
          <w:rFonts w:ascii="TimesNewRomanPS-BoldMT" w:eastAsiaTheme="minorHAnsi" w:hAnsi="TimesNewRomanPS-BoldMT" w:cs="TimesNewRomanPS-BoldMT"/>
          <w:b/>
          <w:bCs/>
          <w:sz w:val="24"/>
          <w:szCs w:val="36"/>
          <w:lang w:val="en-GB"/>
        </w:rPr>
        <w:t>“Expertise S</w:t>
      </w:r>
      <w:r w:rsidRPr="00C978D8">
        <w:rPr>
          <w:rFonts w:ascii="TimesNewRomanPS-BoldMT" w:eastAsiaTheme="minorHAnsi" w:hAnsi="TimesNewRomanPS-BoldMT" w:cs="TimesNewRomanPS-BoldMT"/>
          <w:b/>
          <w:bCs/>
          <w:sz w:val="24"/>
          <w:szCs w:val="36"/>
          <w:lang w:val="en-GB"/>
        </w:rPr>
        <w:t xml:space="preserve">upport in the </w:t>
      </w:r>
      <w:r w:rsidRPr="00C978D8">
        <w:rPr>
          <w:rFonts w:ascii="TimesNewRomanPS-BoldMT" w:eastAsiaTheme="minorHAnsi" w:hAnsi="TimesNewRomanPS-BoldMT" w:cs="TimesNewRomanPS-BoldMT"/>
          <w:b/>
          <w:bCs/>
          <w:sz w:val="24"/>
          <w:szCs w:val="36"/>
          <w:lang w:val="en-GB"/>
        </w:rPr>
        <w:t xml:space="preserve">Area </w:t>
      </w:r>
      <w:r w:rsidRPr="00C978D8">
        <w:rPr>
          <w:rFonts w:ascii="TimesNewRomanPS-BoldMT" w:eastAsiaTheme="minorHAnsi" w:hAnsi="TimesNewRomanPS-BoldMT" w:cs="TimesNewRomanPS-BoldMT"/>
          <w:b/>
          <w:bCs/>
          <w:sz w:val="24"/>
          <w:szCs w:val="36"/>
          <w:lang w:val="en-GB"/>
        </w:rPr>
        <w:t xml:space="preserve">of </w:t>
      </w:r>
      <w:r w:rsidRPr="00C978D8">
        <w:rPr>
          <w:rFonts w:ascii="TimesNewRomanPS-BoldMT" w:eastAsiaTheme="minorHAnsi" w:hAnsi="TimesNewRomanPS-BoldMT" w:cs="TimesNewRomanPS-BoldMT"/>
          <w:b/>
          <w:bCs/>
          <w:sz w:val="24"/>
          <w:szCs w:val="36"/>
          <w:lang w:val="en-GB"/>
        </w:rPr>
        <w:t xml:space="preserve">Particle </w:t>
      </w:r>
      <w:r w:rsidRPr="00C978D8">
        <w:rPr>
          <w:rFonts w:ascii="TimesNewRomanPS-BoldMT" w:eastAsiaTheme="minorHAnsi" w:hAnsi="TimesNewRomanPS-BoldMT" w:cs="TimesNewRomanPS-BoldMT"/>
          <w:b/>
          <w:bCs/>
          <w:sz w:val="24"/>
          <w:szCs w:val="36"/>
          <w:lang w:val="en-GB"/>
        </w:rPr>
        <w:t xml:space="preserve">and </w:t>
      </w:r>
      <w:r w:rsidRPr="00C978D8">
        <w:rPr>
          <w:rFonts w:ascii="TimesNewRomanPS-BoldMT" w:eastAsiaTheme="minorHAnsi" w:hAnsi="TimesNewRomanPS-BoldMT" w:cs="TimesNewRomanPS-BoldMT"/>
          <w:b/>
          <w:bCs/>
          <w:sz w:val="24"/>
          <w:szCs w:val="36"/>
          <w:lang w:val="en-GB"/>
        </w:rPr>
        <w:t>Surface</w:t>
      </w:r>
    </w:p>
    <w:p w:rsidR="00622EA0" w:rsidRPr="00C978D8" w:rsidRDefault="00C978D8" w:rsidP="00C978D8">
      <w:pPr>
        <w:jc w:val="center"/>
        <w:rPr>
          <w:rFonts w:ascii="Times New Roman" w:hAnsi="Times New Roman"/>
          <w:sz w:val="18"/>
          <w:szCs w:val="24"/>
        </w:rPr>
      </w:pPr>
      <w:r w:rsidRPr="00C978D8">
        <w:rPr>
          <w:rFonts w:ascii="TimesNewRomanPS-BoldMT" w:eastAsiaTheme="minorHAnsi" w:hAnsi="TimesNewRomanPS-BoldMT" w:cs="TimesNewRomanPS-BoldMT"/>
          <w:b/>
          <w:bCs/>
          <w:sz w:val="24"/>
          <w:szCs w:val="36"/>
          <w:lang w:val="en-GB"/>
        </w:rPr>
        <w:t xml:space="preserve">Interactions Aiming </w:t>
      </w:r>
      <w:r w:rsidRPr="00C978D8">
        <w:rPr>
          <w:rFonts w:ascii="TimesNewRomanPS-BoldMT" w:eastAsiaTheme="minorHAnsi" w:hAnsi="TimesNewRomanPS-BoldMT" w:cs="TimesNewRomanPS-BoldMT"/>
          <w:b/>
          <w:bCs/>
          <w:sz w:val="24"/>
          <w:szCs w:val="36"/>
          <w:lang w:val="en-GB"/>
        </w:rPr>
        <w:t xml:space="preserve">to </w:t>
      </w:r>
      <w:r w:rsidRPr="00C978D8">
        <w:rPr>
          <w:rFonts w:ascii="TimesNewRomanPS-BoldMT" w:eastAsiaTheme="minorHAnsi" w:hAnsi="TimesNewRomanPS-BoldMT" w:cs="TimesNewRomanPS-BoldMT"/>
          <w:b/>
          <w:bCs/>
          <w:sz w:val="24"/>
          <w:szCs w:val="36"/>
          <w:lang w:val="en-GB"/>
        </w:rPr>
        <w:t xml:space="preserve">Port Plug Design </w:t>
      </w:r>
      <w:r w:rsidRPr="00C978D8">
        <w:rPr>
          <w:rFonts w:ascii="TimesNewRomanPS-BoldMT" w:eastAsiaTheme="minorHAnsi" w:hAnsi="TimesNewRomanPS-BoldMT" w:cs="TimesNewRomanPS-BoldMT"/>
          <w:b/>
          <w:bCs/>
          <w:sz w:val="24"/>
          <w:szCs w:val="36"/>
          <w:lang w:val="en-GB"/>
        </w:rPr>
        <w:t xml:space="preserve">and </w:t>
      </w:r>
      <w:r w:rsidRPr="00C978D8">
        <w:rPr>
          <w:rFonts w:ascii="TimesNewRomanPS-BoldMT" w:eastAsiaTheme="minorHAnsi" w:hAnsi="TimesNewRomanPS-BoldMT" w:cs="TimesNewRomanPS-BoldMT"/>
          <w:b/>
          <w:bCs/>
          <w:sz w:val="24"/>
          <w:szCs w:val="36"/>
          <w:lang w:val="en-GB"/>
        </w:rPr>
        <w:t>Integration</w:t>
      </w:r>
      <w:r>
        <w:rPr>
          <w:rFonts w:ascii="TimesNewRomanPS-BoldMT" w:eastAsiaTheme="minorHAnsi" w:hAnsi="TimesNewRomanPS-BoldMT" w:cs="TimesNewRomanPS-BoldMT"/>
          <w:b/>
          <w:bCs/>
          <w:sz w:val="24"/>
          <w:szCs w:val="36"/>
          <w:lang w:val="en-GB"/>
        </w:rPr>
        <w:t>”</w:t>
      </w:r>
    </w:p>
    <w:p w:rsidR="00622EA0" w:rsidRPr="00220BAA"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proofErr w:type="gramStart"/>
      <w:r>
        <w:rPr>
          <w:rFonts w:ascii="Times New Roman" w:hAnsi="Times New Roman"/>
          <w:sz w:val="24"/>
          <w:szCs w:val="24"/>
        </w:rPr>
        <w:t xml:space="preserve">CONTRACT </w:t>
      </w:r>
      <w:r w:rsidR="00622EA0" w:rsidRPr="00C351FF">
        <w:rPr>
          <w:rFonts w:ascii="Times New Roman" w:hAnsi="Times New Roman"/>
          <w:sz w:val="24"/>
          <w:szCs w:val="24"/>
        </w:rPr>
        <w:t xml:space="preserve"> NUMBER</w:t>
      </w:r>
      <w:proofErr w:type="gramEnd"/>
      <w:r w:rsidR="00622EA0" w:rsidRPr="00C351FF">
        <w:rPr>
          <w:rFonts w:ascii="Times New Roman" w:hAnsi="Times New Roman"/>
          <w:sz w:val="24"/>
          <w:szCs w:val="24"/>
        </w:rPr>
        <w:t xml:space="preserve"> – </w:t>
      </w:r>
      <w:r w:rsidR="00622EA0" w:rsidRPr="00DA04B7">
        <w:rPr>
          <w:rFonts w:ascii="Times New Roman" w:hAnsi="Times New Roman"/>
          <w:sz w:val="24"/>
          <w:szCs w:val="24"/>
        </w:rPr>
        <w:t>[</w:t>
      </w:r>
      <w:r w:rsidR="00C351FF" w:rsidRPr="00DA04B7">
        <w:rPr>
          <w:rFonts w:ascii="Times New Roman" w:hAnsi="Times New Roman"/>
          <w:sz w:val="24"/>
          <w:szCs w:val="24"/>
        </w:rPr>
        <w:t>IO</w:t>
      </w:r>
      <w:r w:rsidR="00622EA0" w:rsidRPr="00181970">
        <w:rPr>
          <w:rFonts w:ascii="Times New Roman" w:hAnsi="Times New Roman"/>
          <w:sz w:val="24"/>
          <w:szCs w:val="24"/>
        </w:rPr>
        <w:t>/</w:t>
      </w:r>
      <w:r w:rsidR="002F23A1">
        <w:rPr>
          <w:rFonts w:ascii="Times New Roman" w:hAnsi="Times New Roman"/>
          <w:sz w:val="24"/>
          <w:szCs w:val="24"/>
        </w:rPr>
        <w:t>19</w:t>
      </w:r>
      <w:r w:rsidR="00C351FF" w:rsidRPr="00181970">
        <w:rPr>
          <w:rFonts w:ascii="Times New Roman" w:hAnsi="Times New Roman"/>
          <w:sz w:val="24"/>
          <w:szCs w:val="24"/>
        </w:rPr>
        <w:t>/</w:t>
      </w:r>
      <w:r w:rsidR="00622EA0" w:rsidRPr="00181970">
        <w:rPr>
          <w:rFonts w:ascii="Times New Roman" w:hAnsi="Times New Roman"/>
          <w:sz w:val="24"/>
          <w:szCs w:val="24"/>
        </w:rPr>
        <w:t>CT</w:t>
      </w:r>
      <w:r w:rsidR="00622EA0" w:rsidRPr="00C351FF">
        <w:rPr>
          <w:rFonts w:ascii="Times New Roman" w:hAnsi="Times New Roman"/>
          <w:sz w:val="24"/>
          <w:szCs w:val="24"/>
          <w:highlight w:val="yellow"/>
        </w:rPr>
        <w:t>/</w:t>
      </w:r>
      <w:r w:rsidR="00C351FF" w:rsidRPr="00C351FF">
        <w:rPr>
          <w:rFonts w:ascii="Times New Roman" w:hAnsi="Times New Roman"/>
          <w:sz w:val="24"/>
          <w:szCs w:val="24"/>
          <w:highlight w:val="yellow"/>
        </w:rPr>
        <w:t>SAP number</w:t>
      </w:r>
      <w:r w:rsidR="00622EA0" w:rsidRPr="00DA04B7">
        <w:rPr>
          <w:rFonts w:ascii="Times New Roman" w:hAnsi="Times New Roman"/>
          <w:sz w:val="24"/>
          <w:szCs w:val="24"/>
        </w:rPr>
        <w:t>]</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bookmarkStart w:id="0" w:name="_GoBack"/>
      <w:bookmarkEnd w:id="0"/>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2F23A1" w:rsidRPr="000832EE" w:rsidRDefault="00622EA0" w:rsidP="002F23A1">
      <w:pPr>
        <w:tabs>
          <w:tab w:val="center" w:pos="4680"/>
          <w:tab w:val="right" w:pos="9360"/>
        </w:tabs>
        <w:spacing w:line="240" w:lineRule="auto"/>
        <w:rPr>
          <w:rFonts w:ascii="Times New Roman" w:eastAsia="SimSun" w:hAnsi="Times New Roman"/>
          <w:sz w:val="24"/>
          <w:szCs w:val="24"/>
          <w:lang w:eastAsia="zh-CN"/>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220BAA">
        <w:rPr>
          <w:rFonts w:ascii="Times New Roman" w:hAnsi="Times New Roman"/>
          <w:sz w:val="24"/>
          <w:szCs w:val="24"/>
        </w:rPr>
        <w:t>by</w:t>
      </w:r>
      <w:r w:rsidRPr="00220BAA">
        <w:rPr>
          <w:rFonts w:ascii="Times New Roman" w:hAnsi="Times New Roman"/>
          <w:sz w:val="24"/>
          <w:szCs w:val="24"/>
        </w:rPr>
        <w:t xml:space="preserve"> </w:t>
      </w:r>
      <w:r w:rsidR="002F23A1">
        <w:rPr>
          <w:rFonts w:ascii="Times New Roman" w:hAnsi="Times New Roman"/>
          <w:sz w:val="24"/>
          <w:szCs w:val="24"/>
        </w:rPr>
        <w:t xml:space="preserve">William De Cat, Section Leader for </w:t>
      </w:r>
      <w:r w:rsidR="002F23A1" w:rsidRPr="00C92CDA">
        <w:rPr>
          <w:rFonts w:ascii="Times New Roman" w:eastAsia="MS Mincho" w:hAnsi="Times New Roman"/>
          <w:sz w:val="24"/>
          <w:szCs w:val="24"/>
          <w:lang w:eastAsia="en-GB"/>
        </w:rPr>
        <w:t>Procurement Construction, Assembly &amp; Logistics Section</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roofErr w:type="gramStart"/>
      <w:r w:rsidRPr="00220BAA">
        <w:rPr>
          <w:rFonts w:ascii="Times New Roman" w:hAnsi="Times New Roman"/>
          <w:sz w:val="24"/>
          <w:szCs w:val="24"/>
        </w:rPr>
        <w:t>and</w:t>
      </w:r>
      <w:proofErr w:type="gramEnd"/>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proofErr w:type="gramStart"/>
      <w:r w:rsidRPr="00220BAA">
        <w:rPr>
          <w:rFonts w:ascii="Times New Roman" w:hAnsi="Times New Roman"/>
          <w:i/>
          <w:sz w:val="24"/>
          <w:szCs w:val="24"/>
          <w:highlight w:val="yellow"/>
        </w:rPr>
        <w:t>official</w:t>
      </w:r>
      <w:proofErr w:type="gramEnd"/>
      <w:r w:rsidRPr="00220BAA">
        <w:rPr>
          <w:rFonts w:ascii="Times New Roman" w:hAnsi="Times New Roman"/>
          <w:i/>
          <w:sz w:val="24"/>
          <w:szCs w:val="24"/>
          <w:highlight w:val="yellow"/>
        </w:rPr>
        <w:t xml:space="preserve">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proofErr w:type="gramStart"/>
      <w:r w:rsidRPr="00220BAA">
        <w:rPr>
          <w:rFonts w:ascii="Times New Roman" w:hAnsi="Times New Roman"/>
          <w:i/>
          <w:sz w:val="24"/>
          <w:szCs w:val="24"/>
          <w:highlight w:val="yellow"/>
        </w:rPr>
        <w:t>statutory</w:t>
      </w:r>
      <w:proofErr w:type="gramEnd"/>
      <w:r w:rsidRPr="00220BAA">
        <w:rPr>
          <w:rFonts w:ascii="Times New Roman" w:hAnsi="Times New Roman"/>
          <w:i/>
          <w:sz w:val="24"/>
          <w:szCs w:val="24"/>
          <w:highlight w:val="yellow"/>
        </w:rPr>
        <w:t xml:space="preserve">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proofErr w:type="gramStart"/>
      <w:r w:rsidR="00622EA0" w:rsidRPr="00220BAA">
        <w:rPr>
          <w:rFonts w:ascii="Times New Roman" w:hAnsi="Times New Roman"/>
          <w:sz w:val="24"/>
          <w:szCs w:val="24"/>
        </w:rPr>
        <w:t>hereinafter</w:t>
      </w:r>
      <w:proofErr w:type="gramEnd"/>
      <w:r w:rsidR="00622EA0" w:rsidRPr="00220BAA">
        <w:rPr>
          <w:rFonts w:ascii="Times New Roman" w:hAnsi="Times New Roman"/>
          <w:sz w:val="24"/>
          <w:szCs w:val="24"/>
        </w:rPr>
        <w:t xml:space="preserve">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BB7F75">
        <w:rPr>
          <w:rFonts w:ascii="Times New Roman" w:hAnsi="Times New Roman"/>
          <w:i/>
          <w:sz w:val="24"/>
          <w:szCs w:val="24"/>
        </w:rPr>
        <w:t>duly authorized to sign on behalf of the Company (or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the</w:t>
      </w:r>
      <w:proofErr w:type="gramEnd"/>
      <w:r w:rsidRPr="00220BAA">
        <w:rPr>
          <w:rFonts w:ascii="Times New Roman" w:hAnsi="Times New Roman"/>
          <w:sz w:val="24"/>
          <w:szCs w:val="24"/>
        </w:rPr>
        <w:t xml:space="preserv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9E3FC0">
      <w:pPr>
        <w:tabs>
          <w:tab w:val="left" w:pos="1418"/>
        </w:tabs>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r w:rsidR="002F23A1">
        <w:rPr>
          <w:rFonts w:ascii="Times New Roman" w:hAnsi="Times New Roman"/>
          <w:sz w:val="24"/>
          <w:szCs w:val="24"/>
        </w:rPr>
        <w:t>ITER_D_</w:t>
      </w:r>
      <w:r w:rsidR="002F23A1" w:rsidRPr="002F23A1">
        <w:rPr>
          <w:rFonts w:ascii="Times New Roman" w:eastAsia="MS Mincho" w:hAnsi="Times New Roman"/>
          <w:sz w:val="24"/>
          <w:szCs w:val="24"/>
        </w:rPr>
        <w:t xml:space="preserve"> </w:t>
      </w:r>
      <w:proofErr w:type="gramStart"/>
      <w:r w:rsidR="002F23A1" w:rsidRPr="0077760C">
        <w:rPr>
          <w:rFonts w:ascii="Times New Roman" w:eastAsia="MS Mincho" w:hAnsi="Times New Roman"/>
          <w:sz w:val="24"/>
          <w:szCs w:val="24"/>
        </w:rPr>
        <w:t xml:space="preserve">YUXTLV </w:t>
      </w:r>
      <w:r w:rsidR="002F23A1">
        <w:rPr>
          <w:rFonts w:ascii="Times New Roman" w:eastAsia="MS Mincho" w:hAnsi="Times New Roman"/>
          <w:sz w:val="24"/>
          <w:szCs w:val="24"/>
        </w:rPr>
        <w:t xml:space="preserve"> V1.0</w:t>
      </w:r>
      <w:proofErr w:type="gramEnd"/>
      <w:r w:rsidR="002F23A1">
        <w:rPr>
          <w:rFonts w:ascii="Times New Roman" w:eastAsia="MS Mincho" w:hAnsi="Times New Roman"/>
          <w:sz w:val="24"/>
          <w:szCs w:val="24"/>
        </w:rPr>
        <w:t xml:space="preserve"> dated 26 June 2019</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B87AEA">
        <w:rPr>
          <w:rFonts w:ascii="Times New Roman" w:hAnsi="Times New Roman"/>
          <w:sz w:val="24"/>
          <w:szCs w:val="24"/>
        </w:rPr>
        <w:t xml:space="preserve">Contract </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proofErr w:type="gramStart"/>
      <w:r w:rsidRPr="009E3FC0">
        <w:rPr>
          <w:rFonts w:ascii="Times New Roman" w:hAnsi="Times New Roman"/>
          <w:sz w:val="24"/>
          <w:szCs w:val="24"/>
        </w:rPr>
        <w:t>link</w:t>
      </w:r>
      <w:proofErr w:type="gramEnd"/>
      <w:r w:rsidRPr="009E3FC0">
        <w:rPr>
          <w:rFonts w:ascii="Times New Roman" w:hAnsi="Times New Roman"/>
          <w:sz w:val="24"/>
          <w:szCs w:val="24"/>
        </w:rPr>
        <w:t xml:space="preserve">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B87AEA">
        <w:rPr>
          <w:rFonts w:ascii="Times New Roman" w:hAnsi="Times New Roman"/>
          <w:sz w:val="24"/>
          <w:szCs w:val="24"/>
        </w:rPr>
        <w:t xml:space="preserve">Contract </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proofErr w:type="gramStart"/>
      <w:r w:rsidR="0025734C">
        <w:rPr>
          <w:rFonts w:ascii="Times New Roman" w:hAnsi="Times New Roman"/>
          <w:sz w:val="24"/>
          <w:szCs w:val="24"/>
        </w:rPr>
        <w:t>l</w:t>
      </w:r>
      <w:r>
        <w:rPr>
          <w:rFonts w:ascii="Times New Roman" w:hAnsi="Times New Roman"/>
          <w:sz w:val="24"/>
          <w:szCs w:val="24"/>
        </w:rPr>
        <w:t>ink</w:t>
      </w:r>
      <w:proofErr w:type="gramEnd"/>
      <w:r>
        <w:rPr>
          <w:rFonts w:ascii="Times New Roman" w:hAnsi="Times New Roman"/>
          <w:sz w:val="24"/>
          <w:szCs w:val="24"/>
        </w:rPr>
        <w:t xml:space="preserve">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22EA0" w:rsidRPr="009E3FC0" w:rsidRDefault="00622EA0" w:rsidP="009E3FC0">
      <w:pPr>
        <w:rPr>
          <w:rFonts w:ascii="Times New Roman" w:hAnsi="Times New Roman"/>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which</w:t>
      </w:r>
      <w:proofErr w:type="gramEnd"/>
      <w:r w:rsidRPr="00220BAA">
        <w:rPr>
          <w:rFonts w:ascii="Times New Roman" w:hAnsi="Times New Roman"/>
          <w:sz w:val="24"/>
          <w:szCs w:val="24"/>
        </w:rPr>
        <w:t xml:space="preserve">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w:t>
      </w:r>
      <w:proofErr w:type="gramStart"/>
      <w:r w:rsidR="009D00F8">
        <w:rPr>
          <w:rFonts w:ascii="Times New Roman" w:hAnsi="Times New Roman"/>
          <w:sz w:val="24"/>
          <w:szCs w:val="24"/>
        </w:rPr>
        <w:t>Thus</w:t>
      </w:r>
      <w:proofErr w:type="gramEnd"/>
      <w:r w:rsidR="009D00F8">
        <w:rPr>
          <w:rFonts w:ascii="Times New Roman" w:hAnsi="Times New Roman"/>
          <w:sz w:val="24"/>
          <w:szCs w:val="24"/>
        </w:rPr>
        <w:t xml:space="preserve">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 xml:space="preserve">are to </w:t>
      </w:r>
      <w:proofErr w:type="gramStart"/>
      <w:r w:rsidRPr="00220BAA">
        <w:rPr>
          <w:rFonts w:ascii="Times New Roman" w:hAnsi="Times New Roman"/>
          <w:sz w:val="24"/>
          <w:szCs w:val="24"/>
        </w:rPr>
        <w:t>be taken</w:t>
      </w:r>
      <w:proofErr w:type="gramEnd"/>
      <w:r w:rsidRPr="00220BAA">
        <w:rPr>
          <w:rFonts w:ascii="Times New Roman" w:hAnsi="Times New Roman"/>
          <w:sz w:val="24"/>
          <w:szCs w:val="24"/>
        </w:rPr>
        <w:t xml:space="preserve">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w:t>
      </w:r>
      <w:proofErr w:type="gramStart"/>
      <w:r w:rsidRPr="00220BAA">
        <w:rPr>
          <w:rFonts w:ascii="Times New Roman" w:hAnsi="Times New Roman"/>
          <w:sz w:val="24"/>
          <w:szCs w:val="24"/>
        </w:rPr>
        <w:t xml:space="preserve">shall be explained or rectified by a written instruction issued by the ITER Organization, subject to the rights of the </w:t>
      </w:r>
      <w:r w:rsidR="00B87AEA">
        <w:rPr>
          <w:rFonts w:ascii="Times New Roman" w:hAnsi="Times New Roman"/>
          <w:sz w:val="24"/>
          <w:szCs w:val="24"/>
        </w:rPr>
        <w:t>Contract</w:t>
      </w:r>
      <w:proofErr w:type="gramEnd"/>
      <w:r w:rsidR="00B87AEA">
        <w:rPr>
          <w:rFonts w:ascii="Times New Roman" w:hAnsi="Times New Roman"/>
          <w:sz w:val="24"/>
          <w:szCs w:val="24"/>
        </w:rPr>
        <w:t xml:space="preserve"> </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622EA0" w:rsidRPr="00220BAA" w:rsidRDefault="00622EA0" w:rsidP="002F23A1">
      <w:pPr>
        <w:autoSpaceDE w:val="0"/>
        <w:autoSpaceDN w:val="0"/>
        <w:adjustRightInd w:val="0"/>
        <w:spacing w:line="240" w:lineRule="auto"/>
        <w:ind w:left="720" w:hanging="720"/>
        <w:rPr>
          <w:rFonts w:ascii="Times New Roman" w:hAnsi="Times New Roman"/>
          <w:sz w:val="24"/>
          <w:szCs w:val="24"/>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220BAA">
        <w:rPr>
          <w:rFonts w:ascii="Times New Roman" w:hAnsi="Times New Roman"/>
          <w:b/>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Pr="00220BAA">
        <w:rPr>
          <w:rFonts w:ascii="Times New Roman" w:hAnsi="Times New Roman"/>
          <w:sz w:val="24"/>
          <w:szCs w:val="24"/>
        </w:rPr>
        <w:t xml:space="preserve"> </w:t>
      </w:r>
      <w:r w:rsidR="002F23A1">
        <w:rPr>
          <w:rFonts w:ascii="Times New Roman" w:hAnsi="Times New Roman"/>
          <w:sz w:val="24"/>
          <w:szCs w:val="24"/>
        </w:rPr>
        <w:t xml:space="preserve">is to provide </w:t>
      </w:r>
      <w:r w:rsidR="002F23A1" w:rsidRPr="002F23A1">
        <w:rPr>
          <w:rFonts w:ascii="Times New Roman" w:hAnsi="Times New Roman"/>
          <w:sz w:val="24"/>
          <w:szCs w:val="24"/>
        </w:rPr>
        <w:t>expertise support in the area of particle and</w:t>
      </w:r>
      <w:r w:rsidR="002F23A1">
        <w:rPr>
          <w:rFonts w:ascii="Times New Roman" w:hAnsi="Times New Roman"/>
          <w:sz w:val="24"/>
          <w:szCs w:val="24"/>
        </w:rPr>
        <w:t xml:space="preserve"> </w:t>
      </w:r>
      <w:r w:rsidR="002F23A1" w:rsidRPr="002F23A1">
        <w:rPr>
          <w:rFonts w:ascii="Times New Roman" w:hAnsi="Times New Roman"/>
          <w:sz w:val="24"/>
          <w:szCs w:val="24"/>
        </w:rPr>
        <w:t>surface interactions aiming to port plug design and integration</w:t>
      </w:r>
    </w:p>
    <w:p w:rsidR="00622EA0" w:rsidRPr="00220BAA" w:rsidRDefault="00622EA0" w:rsidP="00843439">
      <w:pPr>
        <w:jc w:val="both"/>
        <w:rPr>
          <w:rFonts w:ascii="Times New Roman" w:hAnsi="Times New Roman"/>
          <w:sz w:val="24"/>
          <w:szCs w:val="24"/>
        </w:rPr>
      </w:pPr>
    </w:p>
    <w:p w:rsidR="00622EA0" w:rsidRPr="00220BAA" w:rsidRDefault="00622EA0" w:rsidP="00705441">
      <w:pPr>
        <w:ind w:left="720" w:hanging="720"/>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tasks assigned to him in accordance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 xml:space="preserve">shall enter into force on the date on which </w:t>
      </w:r>
      <w:proofErr w:type="gramStart"/>
      <w:r w:rsidR="008510E4" w:rsidRPr="00220BAA">
        <w:rPr>
          <w:rFonts w:ascii="Times New Roman" w:hAnsi="Times New Roman"/>
          <w:color w:val="000000"/>
          <w:sz w:val="24"/>
          <w:szCs w:val="24"/>
        </w:rPr>
        <w:t>it is signed by the last contracting party</w:t>
      </w:r>
      <w:proofErr w:type="gramEnd"/>
      <w:r w:rsidR="008510E4">
        <w:rPr>
          <w:rFonts w:ascii="Times New Roman" w:hAnsi="Times New Roman"/>
          <w:color w:val="000000"/>
          <w:sz w:val="24"/>
          <w:szCs w:val="24"/>
        </w:rPr>
        <w:t xml:space="preserve">. </w:t>
      </w:r>
      <w:r w:rsidRPr="00220BAA">
        <w:rPr>
          <w:rFonts w:ascii="Times New Roman" w:hAnsi="Times New Roman"/>
          <w:color w:val="000000"/>
          <w:sz w:val="24"/>
          <w:szCs w:val="24"/>
        </w:rPr>
        <w:t xml:space="preserve">Provision of the services </w:t>
      </w:r>
      <w:proofErr w:type="gramStart"/>
      <w:r w:rsidRPr="00220BAA">
        <w:rPr>
          <w:rFonts w:ascii="Times New Roman" w:hAnsi="Times New Roman"/>
          <w:color w:val="000000"/>
          <w:sz w:val="24"/>
          <w:szCs w:val="24"/>
        </w:rPr>
        <w:t>may under no circumstances begin</w:t>
      </w:r>
      <w:proofErr w:type="gramEnd"/>
      <w:r w:rsidRPr="00220BAA">
        <w:rPr>
          <w:rFonts w:ascii="Times New Roman" w:hAnsi="Times New Roman"/>
          <w:color w:val="000000"/>
          <w:sz w:val="24"/>
          <w:szCs w:val="24"/>
        </w:rPr>
        <w:t xml:space="preserve">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Pr="000B15FB">
        <w:rPr>
          <w:rFonts w:ascii="Times New Roman" w:hAnsi="Times New Roman"/>
          <w:color w:val="000000"/>
          <w:sz w:val="24"/>
          <w:szCs w:val="24"/>
        </w:rPr>
        <w:t xml:space="preserve">The services </w:t>
      </w:r>
      <w:proofErr w:type="gramStart"/>
      <w:r w:rsidRPr="000B15FB">
        <w:rPr>
          <w:rFonts w:ascii="Times New Roman" w:hAnsi="Times New Roman"/>
          <w:color w:val="000000"/>
          <w:sz w:val="24"/>
          <w:szCs w:val="24"/>
        </w:rPr>
        <w:t xml:space="preserve">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delivered</w:t>
      </w:r>
      <w:proofErr w:type="gramEnd"/>
      <w:r w:rsidR="000B15FB">
        <w:rPr>
          <w:rFonts w:ascii="Times New Roman" w:hAnsi="Times New Roman"/>
          <w:color w:val="000000"/>
          <w:sz w:val="24"/>
          <w:szCs w:val="24"/>
        </w:rPr>
        <w:t xml:space="preserve">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F03D43" w:rsidRPr="00F03D43">
        <w:rPr>
          <w:rFonts w:ascii="Times New Roman" w:hAnsi="Times New Roman"/>
          <w:color w:val="000000"/>
          <w:sz w:val="24"/>
          <w:szCs w:val="24"/>
        </w:rPr>
        <w:t>5.2</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EB39A1">
        <w:rPr>
          <w:rFonts w:ascii="Times New Roman" w:hAnsi="Times New Roman"/>
          <w:color w:val="000000"/>
          <w:sz w:val="24"/>
          <w:szCs w:val="24"/>
        </w:rPr>
        <w:t>5</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proofErr w:type="gramStart"/>
      <w:r w:rsidR="000B15FB">
        <w:rPr>
          <w:rFonts w:ascii="Times New Roman" w:hAnsi="Times New Roman"/>
          <w:color w:val="000000"/>
          <w:sz w:val="24"/>
          <w:szCs w:val="24"/>
        </w:rPr>
        <w:t>shall not be extended</w:t>
      </w:r>
      <w:proofErr w:type="gramEnd"/>
      <w:r w:rsidR="000B15FB">
        <w:rPr>
          <w:rFonts w:ascii="Times New Roman" w:hAnsi="Times New Roman"/>
          <w:color w:val="000000"/>
          <w:sz w:val="24"/>
          <w:szCs w:val="24"/>
        </w:rPr>
        <w:t xml:space="preserve">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proofErr w:type="gramStart"/>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be considered</w:t>
      </w:r>
      <w:proofErr w:type="gramEnd"/>
      <w:r w:rsidR="00D129B5">
        <w:rPr>
          <w:rFonts w:ascii="Times New Roman" w:hAnsi="Times New Roman"/>
          <w:color w:val="000000"/>
          <w:sz w:val="24"/>
          <w:szCs w:val="24"/>
        </w:rPr>
        <w:t xml:space="preserve">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proofErr w:type="gramStart"/>
      <w:r w:rsidR="00F60CB8" w:rsidRPr="00220BAA">
        <w:rPr>
          <w:rFonts w:ascii="Times New Roman" w:hAnsi="Times New Roman"/>
          <w:color w:val="000000"/>
          <w:sz w:val="24"/>
          <w:szCs w:val="24"/>
        </w:rPr>
        <w:t>are calculated</w:t>
      </w:r>
      <w:proofErr w:type="gramEnd"/>
      <w:r w:rsidR="00F60CB8" w:rsidRPr="00220BAA">
        <w:rPr>
          <w:rFonts w:ascii="Times New Roman" w:hAnsi="Times New Roman"/>
          <w:color w:val="000000"/>
          <w:sz w:val="24"/>
          <w:szCs w:val="24"/>
        </w:rPr>
        <w:t xml:space="preserve">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proofErr w:type="gramStart"/>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roofErr w:type="gramEnd"/>
    </w:p>
    <w:p w:rsidR="00622EA0" w:rsidRPr="00220BAA" w:rsidRDefault="00622EA0" w:rsidP="00843439">
      <w:pPr>
        <w:jc w:val="both"/>
        <w:rPr>
          <w:rFonts w:ascii="Times New Roman" w:hAnsi="Times New Roman"/>
          <w:b/>
          <w:i/>
          <w:sz w:val="24"/>
          <w:szCs w:val="24"/>
        </w:rPr>
      </w:pPr>
    </w:p>
    <w:p w:rsidR="006E315C" w:rsidRDefault="006E315C" w:rsidP="00900263">
      <w:pPr>
        <w:ind w:left="720" w:hanging="720"/>
        <w:jc w:val="both"/>
        <w:rPr>
          <w:rFonts w:ascii="Times New Roman" w:hAnsi="Times New Roman"/>
          <w:sz w:val="24"/>
          <w:szCs w:val="24"/>
        </w:rPr>
      </w:pPr>
      <w:r w:rsidRPr="00900263">
        <w:rPr>
          <w:rFonts w:ascii="Times New Roman" w:hAnsi="Times New Roman"/>
          <w:b/>
          <w:sz w:val="24"/>
          <w:szCs w:val="24"/>
        </w:rPr>
        <w:t>I.4.1</w:t>
      </w:r>
      <w:r>
        <w:rPr>
          <w:rFonts w:ascii="Times New Roman" w:hAnsi="Times New Roman"/>
          <w:sz w:val="24"/>
          <w:szCs w:val="24"/>
        </w:rPr>
        <w:t>.</w:t>
      </w:r>
      <w:r>
        <w:rPr>
          <w:rFonts w:ascii="Times New Roman" w:hAnsi="Times New Roman"/>
          <w:sz w:val="24"/>
          <w:szCs w:val="24"/>
        </w:rPr>
        <w:tab/>
        <w:t xml:space="preserve">The </w:t>
      </w:r>
      <w:r w:rsidRPr="002F23A1">
        <w:rPr>
          <w:rFonts w:ascii="Times New Roman" w:hAnsi="Times New Roman"/>
          <w:sz w:val="24"/>
          <w:szCs w:val="24"/>
        </w:rPr>
        <w:t>maximum amount</w:t>
      </w:r>
      <w:r>
        <w:rPr>
          <w:rFonts w:ascii="Times New Roman" w:hAnsi="Times New Roman"/>
          <w:sz w:val="24"/>
          <w:szCs w:val="24"/>
        </w:rPr>
        <w:t xml:space="preserve"> to be paid by the </w:t>
      </w:r>
      <w:r w:rsidRPr="006E315C">
        <w:rPr>
          <w:rFonts w:ascii="Times New Roman" w:hAnsi="Times New Roman"/>
          <w:sz w:val="24"/>
          <w:szCs w:val="24"/>
        </w:rPr>
        <w:t>by the ITER O</w:t>
      </w:r>
      <w:r w:rsidR="006A2375">
        <w:rPr>
          <w:rFonts w:ascii="Times New Roman" w:hAnsi="Times New Roman"/>
          <w:sz w:val="24"/>
          <w:szCs w:val="24"/>
        </w:rPr>
        <w:t xml:space="preserve">rganization under the Contract </w:t>
      </w:r>
      <w:r w:rsidRPr="006E315C">
        <w:rPr>
          <w:rFonts w:ascii="Times New Roman" w:hAnsi="Times New Roman"/>
          <w:sz w:val="24"/>
          <w:szCs w:val="24"/>
        </w:rPr>
        <w:t xml:space="preserve">shall be </w:t>
      </w:r>
      <w:r w:rsidRPr="002F23A1">
        <w:rPr>
          <w:rFonts w:ascii="Times New Roman" w:hAnsi="Times New Roman"/>
          <w:sz w:val="24"/>
          <w:szCs w:val="24"/>
          <w:highlight w:val="yellow"/>
        </w:rPr>
        <w:t>EUR [amount in figures and in words</w:t>
      </w:r>
      <w:r w:rsidRPr="006E315C">
        <w:rPr>
          <w:rFonts w:ascii="Times New Roman" w:hAnsi="Times New Roman"/>
          <w:sz w:val="24"/>
          <w:szCs w:val="24"/>
        </w:rPr>
        <w:t>] excluding VAT, covering all services provided. The ITER Organization shall not accept liability for any expenditure beyond the aforementioned maximum amount.</w:t>
      </w:r>
      <w:r w:rsidR="00BA22A1">
        <w:rPr>
          <w:rFonts w:ascii="Times New Roman" w:hAnsi="Times New Roman"/>
          <w:sz w:val="24"/>
          <w:szCs w:val="24"/>
        </w:rPr>
        <w:t>]</w:t>
      </w:r>
      <w:r>
        <w:rPr>
          <w:rFonts w:ascii="Times New Roman" w:hAnsi="Times New Roman"/>
          <w:sz w:val="24"/>
          <w:szCs w:val="24"/>
        </w:rPr>
        <w:t xml:space="preserve"> </w:t>
      </w:r>
    </w:p>
    <w:p w:rsidR="00F32DDE" w:rsidRPr="006E315C" w:rsidRDefault="00F32DDE" w:rsidP="00900263">
      <w:pPr>
        <w:ind w:left="720" w:hanging="720"/>
        <w:jc w:val="both"/>
        <w:rPr>
          <w:rFonts w:ascii="Times New Roman" w:hAnsi="Times New Roman"/>
          <w:sz w:val="24"/>
          <w:szCs w:val="24"/>
        </w:rPr>
      </w:pPr>
    </w:p>
    <w:p w:rsidR="006E315C" w:rsidRDefault="006E315C" w:rsidP="000E3DF0">
      <w:pPr>
        <w:spacing w:after="200" w:line="276" w:lineRule="auto"/>
        <w:jc w:val="both"/>
        <w:rPr>
          <w:rFonts w:ascii="Times New Roman" w:hAnsi="Times New Roman"/>
          <w:sz w:val="24"/>
          <w:szCs w:val="24"/>
        </w:rPr>
      </w:pPr>
      <w:r w:rsidRPr="00900263">
        <w:rPr>
          <w:rFonts w:ascii="Times New Roman" w:hAnsi="Times New Roman"/>
          <w:b/>
          <w:sz w:val="24"/>
          <w:szCs w:val="24"/>
        </w:rPr>
        <w:t>I.4.2</w:t>
      </w:r>
      <w:r>
        <w:rPr>
          <w:rFonts w:ascii="Times New Roman" w:hAnsi="Times New Roman"/>
          <w:sz w:val="24"/>
          <w:szCs w:val="24"/>
        </w:rPr>
        <w:tab/>
        <w:t>This amount is further broken down as indicated below</w:t>
      </w:r>
      <w:r w:rsidR="002F23A1">
        <w:rPr>
          <w:rFonts w:ascii="Times New Roman" w:hAnsi="Times New Roman"/>
          <w:sz w:val="24"/>
          <w:szCs w:val="24"/>
        </w:rPr>
        <w:t xml:space="preserve"> I.5.2.</w:t>
      </w:r>
      <w:r>
        <w:rPr>
          <w:rFonts w:ascii="Times New Roman" w:hAnsi="Times New Roman"/>
          <w:sz w:val="24"/>
          <w:szCs w:val="24"/>
        </w:rPr>
        <w:t xml:space="preserve"> </w:t>
      </w:r>
    </w:p>
    <w:p w:rsidR="00F32DDE" w:rsidRDefault="00F32DDE" w:rsidP="000E3DF0">
      <w:pPr>
        <w:spacing w:after="200" w:line="276" w:lineRule="auto"/>
        <w:jc w:val="both"/>
        <w:rPr>
          <w:rFonts w:ascii="Times New Roman" w:hAnsi="Times New Roman"/>
          <w:sz w:val="24"/>
          <w:szCs w:val="24"/>
        </w:rPr>
      </w:pPr>
    </w:p>
    <w:p w:rsidR="00622EA0" w:rsidRPr="00220BAA" w:rsidRDefault="00622EA0" w:rsidP="00900263">
      <w:pPr>
        <w:spacing w:after="200"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rsidR="00014992" w:rsidRDefault="00014992" w:rsidP="00843439">
      <w:pPr>
        <w:jc w:val="both"/>
        <w:rPr>
          <w:rFonts w:ascii="Times New Roman" w:hAnsi="Times New Roman"/>
          <w:b/>
          <w:sz w:val="24"/>
          <w:szCs w:val="24"/>
        </w:rPr>
      </w:pP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lastRenderedPageBreak/>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 xml:space="preserve">Contract </w:t>
      </w:r>
      <w:r w:rsidR="00622EA0" w:rsidRPr="00220BAA">
        <w:rPr>
          <w:rFonts w:ascii="Times New Roman" w:hAnsi="Times New Roman"/>
          <w:color w:val="000000"/>
          <w:sz w:val="24"/>
          <w:szCs w:val="24"/>
        </w:rPr>
        <w:t>or has fulfilled his contractual obligations by the date on which the 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2F23A1">
      <w:pPr>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proofErr w:type="gramStart"/>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w:t>
      </w:r>
      <w:proofErr w:type="gramEnd"/>
      <w:r w:rsidRPr="001E2D37">
        <w:rPr>
          <w:rFonts w:ascii="Times New Roman" w:hAnsi="Times New Roman"/>
          <w:color w:val="000000"/>
          <w:sz w:val="24"/>
          <w:szCs w:val="24"/>
        </w:rPr>
        <w:t xml:space="preserve">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2F23A1">
      <w:pPr>
        <w:ind w:firstLine="720"/>
        <w:jc w:val="both"/>
        <w:rPr>
          <w:rFonts w:ascii="Times New Roman" w:hAnsi="Times New Roman"/>
          <w:sz w:val="24"/>
          <w:szCs w:val="24"/>
        </w:rPr>
      </w:pPr>
      <w:r w:rsidRPr="001E2D37">
        <w:rPr>
          <w:rFonts w:ascii="Times New Roman" w:hAnsi="Times New Roman"/>
          <w:sz w:val="24"/>
          <w:szCs w:val="24"/>
        </w:rPr>
        <w:t>(</w:t>
      </w:r>
      <w:proofErr w:type="spellStart"/>
      <w:r w:rsidRPr="001E2D37">
        <w:rPr>
          <w:rFonts w:ascii="Times New Roman" w:hAnsi="Times New Roman"/>
          <w:sz w:val="24"/>
          <w:szCs w:val="24"/>
        </w:rPr>
        <w:t>i</w:t>
      </w:r>
      <w:proofErr w:type="spellEnd"/>
      <w:r w:rsidRPr="001E2D37">
        <w:rPr>
          <w:rFonts w:ascii="Times New Roman" w:hAnsi="Times New Roman"/>
          <w:sz w:val="24"/>
          <w:szCs w:val="24"/>
        </w:rPr>
        <w:t xml:space="preserve">) </w:t>
      </w:r>
      <w:proofErr w:type="gramStart"/>
      <w:r w:rsidRPr="001E2D37">
        <w:rPr>
          <w:rFonts w:ascii="Times New Roman" w:hAnsi="Times New Roman"/>
          <w:sz w:val="24"/>
          <w:szCs w:val="24"/>
        </w:rPr>
        <w:t>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proofErr w:type="gramEnd"/>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Pr="00220BAA" w:rsidRDefault="00622EA0" w:rsidP="002F23A1">
      <w:pPr>
        <w:ind w:firstLine="720"/>
        <w:jc w:val="both"/>
        <w:rPr>
          <w:rFonts w:ascii="Times New Roman" w:hAnsi="Times New Roman"/>
          <w:sz w:val="24"/>
          <w:szCs w:val="24"/>
        </w:rPr>
      </w:pPr>
      <w:r w:rsidRPr="001E2D37">
        <w:rPr>
          <w:rFonts w:ascii="Times New Roman" w:hAnsi="Times New Roman"/>
          <w:sz w:val="24"/>
          <w:szCs w:val="24"/>
        </w:rPr>
        <w:t xml:space="preserve">(ii) </w:t>
      </w:r>
      <w:proofErr w:type="gramStart"/>
      <w:r w:rsidRPr="001E2D37">
        <w:rPr>
          <w:rFonts w:ascii="Times New Roman" w:hAnsi="Times New Roman"/>
          <w:sz w:val="24"/>
          <w:szCs w:val="24"/>
        </w:rPr>
        <w:t>received</w:t>
      </w:r>
      <w:proofErr w:type="gramEnd"/>
      <w:r w:rsidRPr="001E2D37">
        <w:rPr>
          <w:rFonts w:ascii="Times New Roman" w:hAnsi="Times New Roman"/>
          <w:sz w:val="24"/>
          <w:szCs w:val="24"/>
        </w:rPr>
        <w:t xml:space="preserve"> a correctly rendered invoice.</w:t>
      </w:r>
      <w:r w:rsidRPr="00220BAA">
        <w:rPr>
          <w:rFonts w:ascii="Times New Roman" w:hAnsi="Times New Roman"/>
          <w:sz w:val="24"/>
          <w:szCs w:val="24"/>
        </w:rPr>
        <w:t xml:space="preserve"> </w:t>
      </w:r>
      <w:r w:rsidR="00874B49">
        <w:rPr>
          <w:rFonts w:ascii="Times New Roman" w:hAnsi="Times New Roman"/>
          <w:sz w:val="24"/>
          <w:szCs w:val="24"/>
        </w:rPr>
        <w:t xml:space="preserve"> </w:t>
      </w:r>
    </w:p>
    <w:p w:rsidR="00A54F70" w:rsidRDefault="00A54F70" w:rsidP="00843439">
      <w:pPr>
        <w:jc w:val="both"/>
        <w:rPr>
          <w:rFonts w:ascii="Times New Roman" w:hAnsi="Times New Roman"/>
          <w:b/>
          <w:sz w:val="24"/>
          <w:szCs w:val="24"/>
        </w:rPr>
      </w:pPr>
    </w:p>
    <w:p w:rsidR="00014992" w:rsidRPr="003B52CC" w:rsidRDefault="00014992" w:rsidP="00843439">
      <w:pPr>
        <w:jc w:val="both"/>
        <w:rPr>
          <w:color w:val="000000"/>
          <w:sz w:val="24"/>
          <w:szCs w:val="24"/>
          <w:u w:val="single"/>
        </w:rPr>
      </w:pPr>
      <w:r>
        <w:rPr>
          <w:rFonts w:ascii="Times New Roman" w:hAnsi="Times New Roman"/>
          <w:b/>
          <w:sz w:val="24"/>
          <w:szCs w:val="24"/>
        </w:rPr>
        <w:t>I.</w:t>
      </w:r>
      <w:r w:rsidR="003B52CC">
        <w:rPr>
          <w:rFonts w:ascii="Times New Roman" w:hAnsi="Times New Roman"/>
          <w:b/>
          <w:sz w:val="24"/>
          <w:szCs w:val="24"/>
        </w:rPr>
        <w:t>5</w:t>
      </w:r>
      <w:r>
        <w:rPr>
          <w:rFonts w:ascii="Times New Roman" w:hAnsi="Times New Roman"/>
          <w:b/>
          <w:sz w:val="24"/>
          <w:szCs w:val="24"/>
        </w:rPr>
        <w:t>.2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 xml:space="preserve">ayment </w:t>
      </w:r>
      <w:r w:rsidR="00843793">
        <w:rPr>
          <w:rFonts w:ascii="Times New Roman" w:hAnsi="Times New Roman"/>
          <w:sz w:val="24"/>
          <w:szCs w:val="24"/>
        </w:rPr>
        <w:t xml:space="preserve">and delivery </w:t>
      </w:r>
      <w:r w:rsidRPr="00513AF3">
        <w:rPr>
          <w:rFonts w:ascii="Times New Roman" w:hAnsi="Times New Roman"/>
          <w:sz w:val="24"/>
          <w:szCs w:val="24"/>
        </w:rPr>
        <w:t>schedule is the following:</w:t>
      </w:r>
    </w:p>
    <w:p w:rsidR="00343EC8" w:rsidRDefault="00343EC8" w:rsidP="00843439">
      <w:pPr>
        <w:jc w:val="both"/>
        <w:rPr>
          <w:color w:val="000000"/>
          <w:sz w:val="24"/>
          <w:szCs w:val="24"/>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946"/>
        <w:gridCol w:w="1276"/>
        <w:gridCol w:w="1275"/>
      </w:tblGrid>
      <w:tr w:rsidR="00F32DDE" w:rsidRPr="001D4B48" w:rsidTr="00E0453D">
        <w:trPr>
          <w:trHeight w:val="968"/>
          <w:tblHeader/>
        </w:trPr>
        <w:tc>
          <w:tcPr>
            <w:tcW w:w="709" w:type="dxa"/>
            <w:shd w:val="pct50" w:color="auto" w:fill="auto"/>
            <w:vAlign w:val="center"/>
          </w:tcPr>
          <w:p w:rsidR="00F32DDE" w:rsidRPr="001D4B48" w:rsidRDefault="00F32DDE" w:rsidP="00E0453D">
            <w:pPr>
              <w:tabs>
                <w:tab w:val="left" w:pos="1134"/>
              </w:tabs>
              <w:autoSpaceDE w:val="0"/>
              <w:autoSpaceDN w:val="0"/>
              <w:adjustRightInd w:val="0"/>
              <w:jc w:val="center"/>
              <w:rPr>
                <w:b/>
                <w:color w:val="FFFFFF"/>
                <w:szCs w:val="24"/>
              </w:rPr>
            </w:pPr>
            <w:r w:rsidRPr="001D4B48">
              <w:rPr>
                <w:b/>
                <w:color w:val="FFFFFF"/>
                <w:szCs w:val="24"/>
              </w:rPr>
              <w:t>D</w:t>
            </w:r>
            <w:r>
              <w:rPr>
                <w:b/>
                <w:color w:val="FFFFFF"/>
                <w:szCs w:val="24"/>
              </w:rPr>
              <w:t>#</w:t>
            </w:r>
          </w:p>
        </w:tc>
        <w:tc>
          <w:tcPr>
            <w:tcW w:w="6946" w:type="dxa"/>
            <w:shd w:val="pct50" w:color="auto" w:fill="auto"/>
            <w:vAlign w:val="center"/>
          </w:tcPr>
          <w:p w:rsidR="00F32DDE" w:rsidRPr="001D4B48" w:rsidRDefault="00F32DDE" w:rsidP="00E0453D">
            <w:pPr>
              <w:tabs>
                <w:tab w:val="left" w:pos="1134"/>
              </w:tabs>
              <w:autoSpaceDE w:val="0"/>
              <w:autoSpaceDN w:val="0"/>
              <w:adjustRightInd w:val="0"/>
              <w:ind w:left="627"/>
              <w:jc w:val="center"/>
              <w:rPr>
                <w:b/>
                <w:color w:val="FFFFFF"/>
                <w:szCs w:val="24"/>
              </w:rPr>
            </w:pPr>
            <w:r w:rsidRPr="001D4B48">
              <w:rPr>
                <w:b/>
                <w:color w:val="FFFFFF"/>
                <w:szCs w:val="24"/>
              </w:rPr>
              <w:t xml:space="preserve">Article Description </w:t>
            </w:r>
          </w:p>
          <w:p w:rsidR="00F32DDE" w:rsidRPr="001D4B48" w:rsidRDefault="00F32DDE" w:rsidP="00E0453D">
            <w:pPr>
              <w:tabs>
                <w:tab w:val="left" w:pos="1134"/>
              </w:tabs>
              <w:autoSpaceDE w:val="0"/>
              <w:autoSpaceDN w:val="0"/>
              <w:adjustRightInd w:val="0"/>
              <w:jc w:val="center"/>
              <w:rPr>
                <w:b/>
                <w:color w:val="FFFFFF"/>
                <w:szCs w:val="24"/>
              </w:rPr>
            </w:pPr>
            <w:r w:rsidRPr="001D4B48">
              <w:rPr>
                <w:b/>
                <w:color w:val="FFFFFF"/>
                <w:szCs w:val="24"/>
              </w:rPr>
              <w:t xml:space="preserve">In accordance with </w:t>
            </w:r>
            <w:r>
              <w:rPr>
                <w:b/>
                <w:color w:val="FFFFFF"/>
                <w:szCs w:val="24"/>
              </w:rPr>
              <w:t xml:space="preserve">sections 8 of </w:t>
            </w:r>
            <w:r w:rsidRPr="001D4B48">
              <w:rPr>
                <w:b/>
                <w:color w:val="FFFFFF"/>
                <w:szCs w:val="24"/>
              </w:rPr>
              <w:t>the Technical Specification</w:t>
            </w:r>
          </w:p>
          <w:p w:rsidR="00F32DDE" w:rsidRPr="001D4B48" w:rsidRDefault="00F32DDE" w:rsidP="00E0453D">
            <w:pPr>
              <w:tabs>
                <w:tab w:val="left" w:pos="1134"/>
              </w:tabs>
              <w:autoSpaceDE w:val="0"/>
              <w:autoSpaceDN w:val="0"/>
              <w:adjustRightInd w:val="0"/>
              <w:jc w:val="center"/>
              <w:rPr>
                <w:b/>
                <w:color w:val="FFFFFF"/>
                <w:szCs w:val="24"/>
              </w:rPr>
            </w:pPr>
            <w:r w:rsidRPr="001D4B48">
              <w:rPr>
                <w:b/>
                <w:color w:val="FFFFFF"/>
                <w:szCs w:val="24"/>
              </w:rPr>
              <w:t xml:space="preserve"> ITER_D_</w:t>
            </w:r>
            <w:r w:rsidRPr="00CA1461">
              <w:rPr>
                <w:b/>
                <w:color w:val="FFFFFF"/>
                <w:szCs w:val="24"/>
              </w:rPr>
              <w:t xml:space="preserve">YUXTLV </w:t>
            </w:r>
            <w:r w:rsidRPr="00B84AF5">
              <w:rPr>
                <w:b/>
                <w:color w:val="FFFFFF"/>
                <w:szCs w:val="24"/>
              </w:rPr>
              <w:t xml:space="preserve">dated </w:t>
            </w:r>
            <w:r>
              <w:rPr>
                <w:b/>
                <w:color w:val="FFFFFF"/>
                <w:szCs w:val="24"/>
              </w:rPr>
              <w:t>26 June 2019</w:t>
            </w:r>
          </w:p>
        </w:tc>
        <w:tc>
          <w:tcPr>
            <w:tcW w:w="1276" w:type="dxa"/>
            <w:shd w:val="pct50" w:color="auto" w:fill="auto"/>
            <w:vAlign w:val="center"/>
          </w:tcPr>
          <w:p w:rsidR="00F32DDE" w:rsidRPr="001D4B48" w:rsidRDefault="00F32DDE" w:rsidP="00E0453D">
            <w:pPr>
              <w:tabs>
                <w:tab w:val="left" w:pos="1134"/>
              </w:tabs>
              <w:autoSpaceDE w:val="0"/>
              <w:autoSpaceDN w:val="0"/>
              <w:adjustRightInd w:val="0"/>
              <w:jc w:val="center"/>
              <w:rPr>
                <w:b/>
                <w:color w:val="FFFFFF"/>
                <w:szCs w:val="24"/>
              </w:rPr>
            </w:pPr>
            <w:r w:rsidRPr="001D4B48">
              <w:rPr>
                <w:b/>
                <w:color w:val="FFFFFF"/>
                <w:szCs w:val="24"/>
              </w:rPr>
              <w:t xml:space="preserve">Due </w:t>
            </w:r>
            <w:r>
              <w:rPr>
                <w:b/>
                <w:color w:val="FFFFFF"/>
                <w:szCs w:val="24"/>
              </w:rPr>
              <w:t xml:space="preserve">Delivery </w:t>
            </w:r>
            <w:r w:rsidRPr="001D4B48">
              <w:rPr>
                <w:b/>
                <w:color w:val="FFFFFF"/>
                <w:szCs w:val="24"/>
              </w:rPr>
              <w:t>Date</w:t>
            </w:r>
          </w:p>
        </w:tc>
        <w:tc>
          <w:tcPr>
            <w:tcW w:w="1275" w:type="dxa"/>
            <w:shd w:val="pct50" w:color="auto" w:fill="auto"/>
            <w:vAlign w:val="center"/>
          </w:tcPr>
          <w:p w:rsidR="00F32DDE" w:rsidRPr="001D4B48" w:rsidRDefault="00F32DDE" w:rsidP="00E0453D">
            <w:pPr>
              <w:tabs>
                <w:tab w:val="left" w:pos="1134"/>
              </w:tabs>
              <w:autoSpaceDE w:val="0"/>
              <w:autoSpaceDN w:val="0"/>
              <w:adjustRightInd w:val="0"/>
              <w:jc w:val="center"/>
              <w:rPr>
                <w:b/>
                <w:color w:val="FFFFFF"/>
                <w:szCs w:val="24"/>
              </w:rPr>
            </w:pPr>
            <w:r w:rsidRPr="001D4B48">
              <w:rPr>
                <w:b/>
                <w:color w:val="FFFFFF"/>
                <w:szCs w:val="24"/>
              </w:rPr>
              <w:t>PRICE</w:t>
            </w:r>
          </w:p>
          <w:p w:rsidR="00F32DDE" w:rsidRPr="001D4B48" w:rsidRDefault="00F32DDE" w:rsidP="00E0453D">
            <w:pPr>
              <w:tabs>
                <w:tab w:val="left" w:pos="1134"/>
              </w:tabs>
              <w:autoSpaceDE w:val="0"/>
              <w:autoSpaceDN w:val="0"/>
              <w:adjustRightInd w:val="0"/>
              <w:jc w:val="center"/>
              <w:rPr>
                <w:b/>
                <w:color w:val="FFFFFF"/>
                <w:szCs w:val="24"/>
              </w:rPr>
            </w:pPr>
            <w:r w:rsidRPr="001D4B48">
              <w:rPr>
                <w:b/>
                <w:color w:val="FFFFFF"/>
                <w:szCs w:val="24"/>
              </w:rPr>
              <w:t>(EUR)</w:t>
            </w:r>
          </w:p>
        </w:tc>
      </w:tr>
      <w:tr w:rsidR="00F32DDE" w:rsidRPr="001D4B48" w:rsidTr="00E0453D">
        <w:trPr>
          <w:cantSplit/>
          <w:trHeight w:val="719"/>
        </w:trPr>
        <w:tc>
          <w:tcPr>
            <w:tcW w:w="709" w:type="dxa"/>
            <w:shd w:val="clear" w:color="auto" w:fill="auto"/>
            <w:vAlign w:val="center"/>
          </w:tcPr>
          <w:p w:rsidR="00F32DDE" w:rsidRPr="001D4B48" w:rsidRDefault="00F32DDE" w:rsidP="00E0453D">
            <w:pPr>
              <w:spacing w:before="60"/>
              <w:jc w:val="center"/>
            </w:pPr>
            <w:r w:rsidRPr="001D4B48">
              <w:t>D1</w:t>
            </w:r>
          </w:p>
        </w:tc>
        <w:tc>
          <w:tcPr>
            <w:tcW w:w="6946" w:type="dxa"/>
            <w:shd w:val="clear" w:color="auto" w:fill="auto"/>
            <w:vAlign w:val="center"/>
          </w:tcPr>
          <w:p w:rsidR="00F32DDE" w:rsidRPr="00CA1461" w:rsidRDefault="00F32DDE" w:rsidP="00E0453D">
            <w:pPr>
              <w:autoSpaceDE w:val="0"/>
              <w:autoSpaceDN w:val="0"/>
              <w:adjustRightInd w:val="0"/>
              <w:rPr>
                <w:rFonts w:eastAsia="平成明朝"/>
              </w:rPr>
            </w:pPr>
            <w:r w:rsidRPr="00CA1461">
              <w:t>Engineering conservative assessment of tritium adsorption</w:t>
            </w:r>
            <w:r>
              <w:t xml:space="preserve"> </w:t>
            </w:r>
            <w:r w:rsidRPr="00CA1461">
              <w:t>and retention in B4C and SS shielding blocks based on</w:t>
            </w:r>
            <w:r>
              <w:t xml:space="preserve"> </w:t>
            </w:r>
            <w:r w:rsidRPr="00CA1461">
              <w:t xml:space="preserve">MCNP calculations of </w:t>
            </w:r>
            <w:r w:rsidRPr="00CA1461">
              <w:t xml:space="preserve"> and </w:t>
            </w:r>
            <w:r w:rsidRPr="00CA1461">
              <w:t> emission from port plug</w:t>
            </w:r>
            <w:r>
              <w:t xml:space="preserve"> </w:t>
            </w:r>
            <w:r w:rsidRPr="00CA1461">
              <w:t>elements. Comparison of tritium trapping in B4C and SS in</w:t>
            </w:r>
            <w:r>
              <w:t xml:space="preserve"> </w:t>
            </w:r>
            <w:r w:rsidRPr="00CA1461">
              <w:t>port plugs. Recommendations (on demand of IO CT) on</w:t>
            </w:r>
            <w:r>
              <w:t xml:space="preserve"> </w:t>
            </w:r>
            <w:r w:rsidRPr="00CA1461">
              <w:t>tritium retention/adsorption mitigation measures.</w:t>
            </w:r>
          </w:p>
        </w:tc>
        <w:tc>
          <w:tcPr>
            <w:tcW w:w="1276" w:type="dxa"/>
            <w:shd w:val="clear" w:color="auto" w:fill="auto"/>
            <w:vAlign w:val="center"/>
          </w:tcPr>
          <w:p w:rsidR="00F32DDE" w:rsidRPr="001D4B48" w:rsidRDefault="00F32DDE" w:rsidP="00E0453D">
            <w:pPr>
              <w:spacing w:before="60"/>
              <w:jc w:val="center"/>
            </w:pPr>
            <w:r w:rsidRPr="001D4B48">
              <w:t>T</w:t>
            </w:r>
            <w:r w:rsidRPr="001D4B48">
              <w:rPr>
                <w:vertAlign w:val="subscript"/>
              </w:rPr>
              <w:t>0</w:t>
            </w:r>
            <w:r w:rsidRPr="00CA1461">
              <w:rPr>
                <w:vertAlign w:val="superscript"/>
              </w:rPr>
              <w:t>*</w:t>
            </w:r>
            <w:r>
              <w:t>+ 3</w:t>
            </w:r>
            <w:r w:rsidRPr="001D4B48">
              <w:t xml:space="preserve"> Month</w:t>
            </w:r>
          </w:p>
        </w:tc>
        <w:tc>
          <w:tcPr>
            <w:tcW w:w="1275" w:type="dxa"/>
            <w:shd w:val="clear" w:color="auto" w:fill="auto"/>
            <w:vAlign w:val="center"/>
          </w:tcPr>
          <w:p w:rsidR="00F32DDE" w:rsidRPr="001D4B48" w:rsidRDefault="00F32DDE" w:rsidP="00E0453D">
            <w:pPr>
              <w:spacing w:before="60"/>
              <w:jc w:val="center"/>
            </w:pPr>
          </w:p>
        </w:tc>
      </w:tr>
      <w:tr w:rsidR="00F32DDE" w:rsidRPr="001D4B48" w:rsidTr="00E0453D">
        <w:trPr>
          <w:cantSplit/>
          <w:trHeight w:val="707"/>
        </w:trPr>
        <w:tc>
          <w:tcPr>
            <w:tcW w:w="709" w:type="dxa"/>
            <w:tcBorders>
              <w:top w:val="single" w:sz="4" w:space="0" w:color="auto"/>
              <w:left w:val="single" w:sz="4" w:space="0" w:color="auto"/>
              <w:right w:val="single" w:sz="4" w:space="0" w:color="auto"/>
            </w:tcBorders>
            <w:shd w:val="clear" w:color="auto" w:fill="auto"/>
            <w:vAlign w:val="center"/>
          </w:tcPr>
          <w:p w:rsidR="00F32DDE" w:rsidRPr="001D4B48" w:rsidRDefault="00F32DDE" w:rsidP="00E0453D">
            <w:pPr>
              <w:spacing w:before="60"/>
              <w:jc w:val="center"/>
            </w:pPr>
            <w:r w:rsidRPr="001D4B48">
              <w:t>D2</w:t>
            </w:r>
          </w:p>
        </w:tc>
        <w:tc>
          <w:tcPr>
            <w:tcW w:w="6946" w:type="dxa"/>
            <w:tcBorders>
              <w:top w:val="single" w:sz="4" w:space="0" w:color="auto"/>
              <w:left w:val="single" w:sz="4" w:space="0" w:color="auto"/>
              <w:right w:val="single" w:sz="4" w:space="0" w:color="auto"/>
            </w:tcBorders>
            <w:shd w:val="clear" w:color="auto" w:fill="auto"/>
            <w:vAlign w:val="center"/>
          </w:tcPr>
          <w:p w:rsidR="00F32DDE" w:rsidRPr="00CA1461" w:rsidRDefault="00F32DDE" w:rsidP="00E0453D">
            <w:pPr>
              <w:autoSpaceDE w:val="0"/>
              <w:autoSpaceDN w:val="0"/>
              <w:adjustRightInd w:val="0"/>
              <w:rPr>
                <w:rFonts w:eastAsia="平成明朝"/>
              </w:rPr>
            </w:pPr>
            <w:r w:rsidRPr="00CA1461">
              <w:t>Assessment of mirror duct shape (DFW cutout) influence on</w:t>
            </w:r>
            <w:r>
              <w:t xml:space="preserve"> </w:t>
            </w:r>
            <w:r w:rsidRPr="00CA1461">
              <w:t>deposition on first mirror. Revealing of the dependence of</w:t>
            </w:r>
            <w:r>
              <w:t xml:space="preserve"> </w:t>
            </w:r>
            <w:r w:rsidRPr="00CA1461">
              <w:t>first mirror deposition non-homogeneity on mirror angular</w:t>
            </w:r>
            <w:r>
              <w:t xml:space="preserve"> </w:t>
            </w:r>
            <w:r w:rsidRPr="00CA1461">
              <w:t>position. Produce dedicated technical report.</w:t>
            </w:r>
          </w:p>
        </w:tc>
        <w:tc>
          <w:tcPr>
            <w:tcW w:w="1276" w:type="dxa"/>
            <w:tcBorders>
              <w:left w:val="single" w:sz="4" w:space="0" w:color="auto"/>
            </w:tcBorders>
            <w:shd w:val="clear" w:color="auto" w:fill="auto"/>
            <w:vAlign w:val="center"/>
          </w:tcPr>
          <w:p w:rsidR="00F32DDE" w:rsidRPr="001D4B48" w:rsidRDefault="00F32DDE" w:rsidP="00E0453D">
            <w:pPr>
              <w:spacing w:before="60"/>
              <w:jc w:val="center"/>
            </w:pPr>
            <w:r w:rsidRPr="001D4B48">
              <w:t>T</w:t>
            </w:r>
            <w:r w:rsidRPr="001D4B48">
              <w:rPr>
                <w:vertAlign w:val="subscript"/>
              </w:rPr>
              <w:t>0</w:t>
            </w:r>
            <w:r w:rsidRPr="001D4B48">
              <w:t xml:space="preserve"> + </w:t>
            </w:r>
            <w:r>
              <w:t>6</w:t>
            </w:r>
            <w:r w:rsidRPr="001D4B48">
              <w:t xml:space="preserve"> Months</w:t>
            </w:r>
          </w:p>
        </w:tc>
        <w:tc>
          <w:tcPr>
            <w:tcW w:w="1275" w:type="dxa"/>
            <w:tcBorders>
              <w:left w:val="single" w:sz="4" w:space="0" w:color="auto"/>
            </w:tcBorders>
            <w:shd w:val="clear" w:color="auto" w:fill="auto"/>
            <w:vAlign w:val="center"/>
          </w:tcPr>
          <w:p w:rsidR="00F32DDE" w:rsidRPr="001D4B48" w:rsidRDefault="00F32DDE" w:rsidP="00E0453D">
            <w:pPr>
              <w:spacing w:before="60"/>
              <w:jc w:val="center"/>
            </w:pPr>
          </w:p>
        </w:tc>
      </w:tr>
      <w:tr w:rsidR="00F32DDE" w:rsidRPr="001D4B48" w:rsidTr="00E0453D">
        <w:trPr>
          <w:cantSplit/>
          <w:trHeight w:val="704"/>
        </w:trPr>
        <w:tc>
          <w:tcPr>
            <w:tcW w:w="709" w:type="dxa"/>
            <w:tcBorders>
              <w:top w:val="single" w:sz="4" w:space="0" w:color="auto"/>
            </w:tcBorders>
            <w:shd w:val="clear" w:color="auto" w:fill="auto"/>
            <w:vAlign w:val="center"/>
          </w:tcPr>
          <w:p w:rsidR="00F32DDE" w:rsidRPr="001D4B48" w:rsidRDefault="00F32DDE" w:rsidP="00E0453D">
            <w:pPr>
              <w:spacing w:before="60"/>
              <w:jc w:val="center"/>
            </w:pPr>
            <w:r w:rsidRPr="001D4B48">
              <w:t>D3</w:t>
            </w:r>
          </w:p>
        </w:tc>
        <w:tc>
          <w:tcPr>
            <w:tcW w:w="6946" w:type="dxa"/>
            <w:tcBorders>
              <w:top w:val="single" w:sz="4" w:space="0" w:color="auto"/>
            </w:tcBorders>
            <w:shd w:val="clear" w:color="auto" w:fill="auto"/>
            <w:vAlign w:val="center"/>
          </w:tcPr>
          <w:p w:rsidR="00F32DDE" w:rsidRPr="00CA1461" w:rsidRDefault="00F32DDE" w:rsidP="00E0453D">
            <w:pPr>
              <w:autoSpaceDE w:val="0"/>
              <w:autoSpaceDN w:val="0"/>
              <w:adjustRightInd w:val="0"/>
            </w:pPr>
            <w:r w:rsidRPr="00CA1461">
              <w:t>Consideration of CXN and sputtered atoms reflection on the</w:t>
            </w:r>
            <w:r>
              <w:t xml:space="preserve"> </w:t>
            </w:r>
            <w:r w:rsidRPr="00CA1461">
              <w:t>walls of mirror duct and its inclusion into report as by D2.</w:t>
            </w:r>
            <w:r>
              <w:t xml:space="preserve"> </w:t>
            </w:r>
          </w:p>
          <w:p w:rsidR="00F32DDE" w:rsidRPr="00CA1461" w:rsidRDefault="00F32DDE" w:rsidP="00E0453D">
            <w:pPr>
              <w:autoSpaceDE w:val="0"/>
              <w:autoSpaceDN w:val="0"/>
              <w:adjustRightInd w:val="0"/>
            </w:pPr>
            <w:r w:rsidRPr="00CA1461">
              <w:t>Consideration of angular orientation (from 0 to 90 with</w:t>
            </w:r>
            <w:r>
              <w:t xml:space="preserve"> </w:t>
            </w:r>
            <w:r w:rsidRPr="00CA1461">
              <w:t>respect to duct axis) of CXN flux. Provide parametric</w:t>
            </w:r>
            <w:r>
              <w:t xml:space="preserve"> </w:t>
            </w:r>
            <w:r w:rsidRPr="00CA1461">
              <w:t>(angular, reflection, impurity concentration, sputtering</w:t>
            </w:r>
            <w:r>
              <w:t xml:space="preserve"> </w:t>
            </w:r>
            <w:r w:rsidRPr="00CA1461">
              <w:t>yield, geometry) study of particle flux to the mirror.</w:t>
            </w:r>
          </w:p>
          <w:p w:rsidR="00F32DDE" w:rsidRPr="00CA1461" w:rsidRDefault="00F32DDE" w:rsidP="00E0453D">
            <w:pPr>
              <w:autoSpaceDE w:val="0"/>
              <w:autoSpaceDN w:val="0"/>
              <w:adjustRightInd w:val="0"/>
              <w:rPr>
                <w:rFonts w:eastAsia="平成明朝"/>
              </w:rPr>
            </w:pPr>
            <w:r w:rsidRPr="00CA1461">
              <w:t>Providing engineering recommendations (put in the</w:t>
            </w:r>
            <w:r>
              <w:t xml:space="preserve"> </w:t>
            </w:r>
            <w:r w:rsidRPr="00CA1461">
              <w:t>dedicated report) supported by conclusions from previously</w:t>
            </w:r>
            <w:r>
              <w:t xml:space="preserve"> </w:t>
            </w:r>
            <w:r w:rsidRPr="00CA1461">
              <w:t>produced report(s) on mirror duct shape.</w:t>
            </w:r>
          </w:p>
        </w:tc>
        <w:tc>
          <w:tcPr>
            <w:tcW w:w="1276" w:type="dxa"/>
            <w:shd w:val="clear" w:color="auto" w:fill="auto"/>
            <w:vAlign w:val="center"/>
          </w:tcPr>
          <w:p w:rsidR="00F32DDE" w:rsidRPr="001D4B48" w:rsidRDefault="00F32DDE" w:rsidP="00E0453D">
            <w:pPr>
              <w:spacing w:before="60"/>
              <w:jc w:val="center"/>
            </w:pPr>
            <w:r w:rsidRPr="001D4B48">
              <w:t>T</w:t>
            </w:r>
            <w:r w:rsidRPr="001D4B48">
              <w:rPr>
                <w:vertAlign w:val="subscript"/>
              </w:rPr>
              <w:t>0</w:t>
            </w:r>
            <w:r w:rsidRPr="001D4B48">
              <w:t xml:space="preserve"> + </w:t>
            </w:r>
            <w:r>
              <w:t>8</w:t>
            </w:r>
            <w:r w:rsidRPr="001D4B48">
              <w:t xml:space="preserve"> Months</w:t>
            </w:r>
          </w:p>
        </w:tc>
        <w:tc>
          <w:tcPr>
            <w:tcW w:w="1275" w:type="dxa"/>
            <w:shd w:val="clear" w:color="auto" w:fill="auto"/>
            <w:vAlign w:val="center"/>
          </w:tcPr>
          <w:p w:rsidR="00F32DDE" w:rsidRPr="001D4B48" w:rsidRDefault="00F32DDE" w:rsidP="00E0453D">
            <w:pPr>
              <w:spacing w:before="60"/>
              <w:jc w:val="center"/>
            </w:pPr>
          </w:p>
        </w:tc>
      </w:tr>
      <w:tr w:rsidR="00F32DDE" w:rsidRPr="001D4B48" w:rsidTr="00E0453D">
        <w:trPr>
          <w:cantSplit/>
          <w:trHeight w:val="699"/>
        </w:trPr>
        <w:tc>
          <w:tcPr>
            <w:tcW w:w="709" w:type="dxa"/>
            <w:tcBorders>
              <w:top w:val="single" w:sz="4" w:space="0" w:color="auto"/>
            </w:tcBorders>
            <w:shd w:val="clear" w:color="auto" w:fill="auto"/>
            <w:vAlign w:val="center"/>
          </w:tcPr>
          <w:p w:rsidR="00F32DDE" w:rsidRPr="001D4B48" w:rsidRDefault="00F32DDE" w:rsidP="00E0453D">
            <w:pPr>
              <w:spacing w:before="60"/>
              <w:jc w:val="center"/>
            </w:pPr>
            <w:r>
              <w:t>D4</w:t>
            </w:r>
          </w:p>
        </w:tc>
        <w:tc>
          <w:tcPr>
            <w:tcW w:w="6946" w:type="dxa"/>
            <w:tcBorders>
              <w:top w:val="single" w:sz="4" w:space="0" w:color="auto"/>
            </w:tcBorders>
            <w:shd w:val="clear" w:color="auto" w:fill="auto"/>
            <w:vAlign w:val="center"/>
          </w:tcPr>
          <w:p w:rsidR="00F32DDE" w:rsidRPr="00CA1461" w:rsidRDefault="00F32DDE" w:rsidP="00E0453D">
            <w:pPr>
              <w:autoSpaceDE w:val="0"/>
              <w:autoSpaceDN w:val="0"/>
              <w:adjustRightInd w:val="0"/>
            </w:pPr>
            <w:r w:rsidRPr="00CA1461">
              <w:t xml:space="preserve">Update report(s) produced in D1, D2, D3, </w:t>
            </w:r>
            <w:proofErr w:type="gramStart"/>
            <w:r w:rsidRPr="00CA1461">
              <w:t>D4</w:t>
            </w:r>
            <w:proofErr w:type="gramEnd"/>
            <w:r w:rsidRPr="00CA1461">
              <w:t xml:space="preserve"> accordingly to</w:t>
            </w:r>
            <w:r>
              <w:t xml:space="preserve"> </w:t>
            </w:r>
            <w:r w:rsidRPr="00CA1461">
              <w:t>reviewer’s comments.</w:t>
            </w:r>
          </w:p>
          <w:p w:rsidR="00F32DDE" w:rsidRPr="00CA1461" w:rsidRDefault="00F32DDE" w:rsidP="00E0453D">
            <w:pPr>
              <w:autoSpaceDE w:val="0"/>
              <w:autoSpaceDN w:val="0"/>
              <w:adjustRightInd w:val="0"/>
            </w:pPr>
            <w:r w:rsidRPr="00CA1461">
              <w:t>Update first mirror related documents affected by results</w:t>
            </w:r>
            <w:r>
              <w:t xml:space="preserve"> </w:t>
            </w:r>
            <w:r w:rsidRPr="00CA1461">
              <w:t xml:space="preserve">obtained in D1 – D4 and accordingly to </w:t>
            </w:r>
            <w:proofErr w:type="gramStart"/>
            <w:r w:rsidRPr="00CA1461">
              <w:t>reviewer’s</w:t>
            </w:r>
            <w:proofErr w:type="gramEnd"/>
            <w:r>
              <w:t xml:space="preserve"> </w:t>
            </w:r>
            <w:r w:rsidRPr="00CA1461">
              <w:t>comments.</w:t>
            </w:r>
          </w:p>
          <w:p w:rsidR="00F32DDE" w:rsidRPr="00CA1461" w:rsidRDefault="00F32DDE" w:rsidP="00E0453D">
            <w:pPr>
              <w:rPr>
                <w:rFonts w:eastAsia="平成明朝"/>
              </w:rPr>
            </w:pPr>
            <w:r w:rsidRPr="00CA1461">
              <w:t>Provide minutes of the progress and technical minutes.</w:t>
            </w:r>
          </w:p>
        </w:tc>
        <w:tc>
          <w:tcPr>
            <w:tcW w:w="1276" w:type="dxa"/>
            <w:shd w:val="clear" w:color="auto" w:fill="auto"/>
            <w:vAlign w:val="center"/>
          </w:tcPr>
          <w:p w:rsidR="00F32DDE" w:rsidRPr="001D4B48" w:rsidRDefault="00F32DDE" w:rsidP="00E0453D">
            <w:pPr>
              <w:spacing w:before="60"/>
              <w:jc w:val="center"/>
            </w:pPr>
            <w:r w:rsidRPr="001D4B48">
              <w:t>T</w:t>
            </w:r>
            <w:r w:rsidRPr="001D4B48">
              <w:rPr>
                <w:vertAlign w:val="subscript"/>
              </w:rPr>
              <w:t>0</w:t>
            </w:r>
            <w:r w:rsidRPr="001D4B48">
              <w:t xml:space="preserve"> + </w:t>
            </w:r>
            <w:r>
              <w:t>8</w:t>
            </w:r>
            <w:r w:rsidRPr="001D4B48">
              <w:t xml:space="preserve"> Months</w:t>
            </w:r>
          </w:p>
        </w:tc>
        <w:tc>
          <w:tcPr>
            <w:tcW w:w="1275" w:type="dxa"/>
            <w:shd w:val="clear" w:color="auto" w:fill="auto"/>
            <w:vAlign w:val="center"/>
          </w:tcPr>
          <w:p w:rsidR="00F32DDE" w:rsidRPr="001D4B48" w:rsidRDefault="00F32DDE" w:rsidP="00E0453D">
            <w:pPr>
              <w:spacing w:before="60"/>
              <w:jc w:val="center"/>
            </w:pPr>
          </w:p>
        </w:tc>
      </w:tr>
      <w:tr w:rsidR="00F32DDE" w:rsidRPr="001D4B48" w:rsidTr="00E0453D">
        <w:tblPrEx>
          <w:tblLook w:val="0000" w:firstRow="0" w:lastRow="0" w:firstColumn="0" w:lastColumn="0" w:noHBand="0" w:noVBand="0"/>
        </w:tblPrEx>
        <w:trPr>
          <w:gridBefore w:val="1"/>
          <w:wBefore w:w="709" w:type="dxa"/>
          <w:trHeight w:val="435"/>
        </w:trPr>
        <w:tc>
          <w:tcPr>
            <w:tcW w:w="8222" w:type="dxa"/>
            <w:gridSpan w:val="2"/>
            <w:shd w:val="clear" w:color="auto" w:fill="auto"/>
            <w:vAlign w:val="center"/>
          </w:tcPr>
          <w:p w:rsidR="00F32DDE" w:rsidRPr="001D4B48" w:rsidRDefault="00F32DDE" w:rsidP="00E0453D">
            <w:pPr>
              <w:widowControl w:val="0"/>
              <w:autoSpaceDE w:val="0"/>
              <w:autoSpaceDN w:val="0"/>
              <w:adjustRightInd w:val="0"/>
              <w:spacing w:before="120"/>
              <w:ind w:left="570"/>
              <w:jc w:val="center"/>
              <w:rPr>
                <w:rFonts w:eastAsia="平成明朝"/>
                <w:b/>
                <w:szCs w:val="24"/>
              </w:rPr>
            </w:pPr>
            <w:r w:rsidRPr="001D4B48">
              <w:rPr>
                <w:rFonts w:eastAsia="平成明朝"/>
                <w:b/>
                <w:szCs w:val="24"/>
              </w:rPr>
              <w:t>MAXIMUM TOTAL PRICE  (EUR)</w:t>
            </w:r>
          </w:p>
        </w:tc>
        <w:tc>
          <w:tcPr>
            <w:tcW w:w="1275" w:type="dxa"/>
            <w:shd w:val="clear" w:color="auto" w:fill="auto"/>
            <w:vAlign w:val="center"/>
          </w:tcPr>
          <w:p w:rsidR="00F32DDE" w:rsidRPr="001D4B48" w:rsidRDefault="00F32DDE" w:rsidP="00E0453D">
            <w:pPr>
              <w:jc w:val="center"/>
              <w:rPr>
                <w:rFonts w:eastAsia="平成明朝"/>
              </w:rPr>
            </w:pPr>
          </w:p>
          <w:p w:rsidR="00F32DDE" w:rsidRPr="001D4B48" w:rsidRDefault="00F32DDE" w:rsidP="00E0453D">
            <w:pPr>
              <w:widowControl w:val="0"/>
              <w:autoSpaceDE w:val="0"/>
              <w:autoSpaceDN w:val="0"/>
              <w:adjustRightInd w:val="0"/>
              <w:spacing w:before="120"/>
              <w:jc w:val="center"/>
              <w:rPr>
                <w:rFonts w:eastAsia="平成明朝"/>
              </w:rPr>
            </w:pPr>
          </w:p>
        </w:tc>
      </w:tr>
    </w:tbl>
    <w:p w:rsidR="00F32DDE" w:rsidRDefault="00F32DDE" w:rsidP="00F32DDE"/>
    <w:p w:rsidR="00F32DDE" w:rsidRPr="00747315" w:rsidRDefault="00F32DDE" w:rsidP="00F32DDE">
      <w:r w:rsidRPr="00CA1461">
        <w:t>*: T</w:t>
      </w:r>
      <w:r w:rsidRPr="00CA1461">
        <w:rPr>
          <w:vertAlign w:val="subscript"/>
        </w:rPr>
        <w:t>0</w:t>
      </w:r>
      <w:r w:rsidRPr="00CA1461">
        <w:t xml:space="preserve"> is the date of the kick off meeting which will take place within one month after</w:t>
      </w:r>
      <w:r>
        <w:t xml:space="preserve"> the signature of the Contract.</w:t>
      </w:r>
      <w:r w:rsidRPr="0069153D">
        <w:rPr>
          <w:b/>
          <w:i/>
        </w:rPr>
        <w:t xml:space="preserve"> </w:t>
      </w:r>
    </w:p>
    <w:p w:rsidR="00A54F70" w:rsidRDefault="00A54F70" w:rsidP="00843439">
      <w:pPr>
        <w:jc w:val="both"/>
        <w:rPr>
          <w:rFonts w:ascii="Times New Roman" w:hAnsi="Times New Roman"/>
          <w:b/>
          <w:caps/>
          <w:sz w:val="24"/>
          <w:szCs w:val="24"/>
          <w:u w:val="single"/>
        </w:rPr>
      </w:pPr>
    </w:p>
    <w:p w:rsidR="00F32DDE" w:rsidRDefault="00F32DDE"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Payments </w:t>
      </w:r>
      <w:proofErr w:type="gramStart"/>
      <w:r w:rsidRPr="00220BAA">
        <w:rPr>
          <w:rFonts w:ascii="Times New Roman" w:hAnsi="Times New Roman"/>
          <w:sz w:val="24"/>
          <w:szCs w:val="24"/>
        </w:rPr>
        <w:t>shall be made</w:t>
      </w:r>
      <w:proofErr w:type="gramEnd"/>
      <w:r w:rsidRPr="00220BAA">
        <w:rPr>
          <w:rFonts w:ascii="Times New Roman" w:hAnsi="Times New Roman"/>
          <w:sz w:val="24"/>
          <w:szCs w:val="24"/>
        </w:rPr>
        <w:t xml:space="preserv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 xml:space="preserve">Financial Identification Form. The </w:t>
      </w:r>
      <w:proofErr w:type="gramStart"/>
      <w:r w:rsidRPr="00220BAA">
        <w:rPr>
          <w:rFonts w:ascii="Times New Roman" w:hAnsi="Times New Roman"/>
          <w:sz w:val="24"/>
          <w:szCs w:val="24"/>
        </w:rPr>
        <w:t>Financial Identification Form shall be provided by the ITER Organization</w:t>
      </w:r>
      <w:proofErr w:type="gramEnd"/>
      <w:r w:rsidRPr="00220BAA">
        <w:rPr>
          <w:rFonts w:ascii="Times New Roman" w:hAnsi="Times New Roman"/>
          <w:sz w:val="24"/>
          <w:szCs w:val="24"/>
        </w:rPr>
        <w:t xml:space="preserve">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lastRenderedPageBreak/>
        <w:t xml:space="preserve">It is the Contractor’s obligation to return this form to the ITER Organization in a timely manner. No payments </w:t>
      </w:r>
      <w:proofErr w:type="gramStart"/>
      <w:r w:rsidRPr="00220BAA">
        <w:rPr>
          <w:rFonts w:ascii="Times New Roman" w:hAnsi="Times New Roman"/>
          <w:sz w:val="24"/>
          <w:szCs w:val="24"/>
        </w:rPr>
        <w:t>can be made</w:t>
      </w:r>
      <w:proofErr w:type="gramEnd"/>
      <w:r w:rsidRPr="00220BAA">
        <w:rPr>
          <w:rFonts w:ascii="Times New Roman" w:hAnsi="Times New Roman"/>
          <w:sz w:val="24"/>
          <w:szCs w:val="24"/>
        </w:rPr>
        <w:t xml:space="preserv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BA22A1" w:rsidRDefault="00BA22A1" w:rsidP="00843439">
      <w:pPr>
        <w:jc w:val="both"/>
        <w:rPr>
          <w:rFonts w:ascii="Times New Roman" w:hAnsi="Times New Roman"/>
          <w:b/>
          <w:sz w:val="24"/>
          <w:szCs w:val="24"/>
          <w:u w:val="single"/>
        </w:rPr>
      </w:pPr>
    </w:p>
    <w:p w:rsidR="00F32DDE" w:rsidRPr="00220BAA" w:rsidRDefault="00F32DDE"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proofErr w:type="gramStart"/>
      <w:r w:rsidRPr="00220BAA">
        <w:rPr>
          <w:rFonts w:ascii="Times New Roman" w:hAnsi="Times New Roman"/>
          <w:sz w:val="24"/>
          <w:szCs w:val="24"/>
        </w:rPr>
        <w:t>shall be made</w:t>
      </w:r>
      <w:proofErr w:type="gramEnd"/>
      <w:r w:rsidRPr="00220BAA">
        <w:rPr>
          <w:rFonts w:ascii="Times New Roman" w:hAnsi="Times New Roman"/>
          <w:sz w:val="24"/>
          <w:szCs w:val="24"/>
        </w:rPr>
        <w:t xml:space="preserv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w:t>
      </w:r>
      <w:proofErr w:type="gramStart"/>
      <w:r w:rsidRPr="00220BAA">
        <w:rPr>
          <w:rFonts w:ascii="Times New Roman" w:hAnsi="Times New Roman"/>
          <w:sz w:val="24"/>
          <w:szCs w:val="24"/>
        </w:rPr>
        <w:t xml:space="preserve">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epartment indicated below</w:t>
      </w:r>
      <w:proofErr w:type="gramEnd"/>
      <w:r w:rsidRPr="00220BAA">
        <w:rPr>
          <w:rFonts w:ascii="Times New Roman" w:hAnsi="Times New Roman"/>
          <w:sz w:val="24"/>
          <w:szCs w:val="24"/>
        </w:rPr>
        <w:t xml:space="preserve">. </w:t>
      </w:r>
    </w:p>
    <w:p w:rsidR="006D5277" w:rsidRDefault="006D5277"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 xml:space="preserve">ommunications </w:t>
      </w:r>
      <w:proofErr w:type="gramStart"/>
      <w:r w:rsidR="00622EA0" w:rsidRPr="00220BAA">
        <w:rPr>
          <w:rFonts w:ascii="Times New Roman" w:hAnsi="Times New Roman"/>
          <w:sz w:val="24"/>
          <w:szCs w:val="24"/>
        </w:rPr>
        <w:t>shall be sent</w:t>
      </w:r>
      <w:proofErr w:type="gramEnd"/>
      <w:r w:rsidR="00622EA0" w:rsidRPr="00220BAA">
        <w:rPr>
          <w:rFonts w:ascii="Times New Roman" w:hAnsi="Times New Roman"/>
          <w:sz w:val="24"/>
          <w:szCs w:val="24"/>
        </w:rPr>
        <w:t xml:space="preserve"> to the following addresses:</w:t>
      </w:r>
    </w:p>
    <w:p w:rsidR="00622EA0" w:rsidRPr="00220BAA" w:rsidRDefault="00622EA0"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proofErr w:type="spellStart"/>
      <w:r w:rsidRPr="009A547F">
        <w:rPr>
          <w:rFonts w:ascii="Times New Roman" w:eastAsia="Times New Roman" w:hAnsi="Times New Roman"/>
          <w:color w:val="000000" w:themeColor="text1"/>
          <w:sz w:val="24"/>
          <w:szCs w:val="24"/>
          <w:lang w:val="fr-FR" w:eastAsia="en-GB"/>
        </w:rPr>
        <w:t>Vinon</w:t>
      </w:r>
      <w:proofErr w:type="spellEnd"/>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2973DE" w:rsidRPr="00220BAA" w:rsidRDefault="006D5277" w:rsidP="00F32DDE">
      <w:pPr>
        <w:tabs>
          <w:tab w:val="left" w:pos="709"/>
          <w:tab w:val="num" w:pos="1134"/>
          <w:tab w:val="left" w:pos="10977"/>
        </w:tabs>
        <w:ind w:left="1440" w:hanging="306"/>
        <w:jc w:val="both"/>
        <w:outlineLvl w:val="0"/>
        <w:rPr>
          <w:rFonts w:ascii="Times New Roman" w:hAnsi="Times New Roman"/>
          <w:sz w:val="24"/>
          <w:szCs w:val="24"/>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00622EA0" w:rsidRPr="006D5277" w:rsidDel="00006680">
        <w:rPr>
          <w:rFonts w:ascii="Times New Roman" w:hAnsi="Times New Roman"/>
          <w:color w:val="000000" w:themeColor="text1"/>
          <w:sz w:val="24"/>
          <w:szCs w:val="24"/>
          <w:highlight w:val="yellow"/>
          <w:lang w:val="fr-FR"/>
        </w:rPr>
        <w:t xml:space="preserve"> </w:t>
      </w: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Contractual Content</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i/>
          <w:sz w:val="24"/>
          <w:szCs w:val="24"/>
        </w:rPr>
      </w:pPr>
      <w:r w:rsidRPr="00220BAA">
        <w:rPr>
          <w:rFonts w:ascii="Times New Roman" w:hAnsi="Times New Roman"/>
          <w:i/>
          <w:sz w:val="24"/>
          <w:szCs w:val="24"/>
          <w:highlight w:val="yellow"/>
        </w:rPr>
        <w:t xml:space="preserve">Name of </w:t>
      </w:r>
      <w:r w:rsidR="00893F78">
        <w:rPr>
          <w:rFonts w:ascii="Times New Roman" w:hAnsi="Times New Roman"/>
          <w:i/>
          <w:sz w:val="24"/>
          <w:szCs w:val="24"/>
          <w:highlight w:val="yellow"/>
        </w:rPr>
        <w:t>Procurement Officer</w:t>
      </w:r>
      <w:r w:rsidR="00BA22A1">
        <w:rPr>
          <w:rFonts w:ascii="Times New Roman" w:hAnsi="Times New Roman"/>
          <w:i/>
          <w:sz w:val="24"/>
          <w:szCs w:val="24"/>
        </w:rPr>
        <w:t xml:space="preserve"> </w:t>
      </w:r>
    </w:p>
    <w:p w:rsidR="00622EA0" w:rsidRPr="00BA22A1" w:rsidRDefault="00622EA0" w:rsidP="00705441">
      <w:pPr>
        <w:tabs>
          <w:tab w:val="left" w:pos="510"/>
          <w:tab w:val="num" w:pos="1485"/>
          <w:tab w:val="left" w:pos="10977"/>
        </w:tabs>
        <w:ind w:left="360" w:firstLine="774"/>
        <w:jc w:val="both"/>
        <w:outlineLvl w:val="0"/>
        <w:rPr>
          <w:rFonts w:ascii="Times New Roman" w:hAnsi="Times New Roman"/>
          <w:sz w:val="24"/>
          <w:szCs w:val="24"/>
          <w:lang w:val="en-GB"/>
        </w:rPr>
      </w:pPr>
      <w:r w:rsidRPr="00BA22A1">
        <w:rPr>
          <w:rFonts w:ascii="Times New Roman" w:hAnsi="Times New Roman"/>
          <w:sz w:val="24"/>
          <w:szCs w:val="24"/>
          <w:lang w:val="en-GB"/>
        </w:rPr>
        <w:t>Procurement and Contract</w:t>
      </w:r>
      <w:r w:rsidR="00C351FF" w:rsidRPr="00BA22A1">
        <w:rPr>
          <w:rFonts w:ascii="Times New Roman" w:hAnsi="Times New Roman"/>
          <w:sz w:val="24"/>
          <w:szCs w:val="24"/>
          <w:lang w:val="en-GB"/>
        </w:rPr>
        <w:t>s</w:t>
      </w:r>
      <w:r w:rsidRPr="00BA22A1">
        <w:rPr>
          <w:rFonts w:ascii="Times New Roman" w:hAnsi="Times New Roman"/>
          <w:sz w:val="24"/>
          <w:szCs w:val="24"/>
          <w:lang w:val="en-GB"/>
        </w:rPr>
        <w:t xml:space="preserve"> Division</w:t>
      </w:r>
      <w:r w:rsidR="00BA22A1" w:rsidRPr="00BA22A1">
        <w:rPr>
          <w:rFonts w:ascii="Times New Roman" w:hAnsi="Times New Roman"/>
          <w:sz w:val="24"/>
          <w:szCs w:val="24"/>
          <w:lang w:val="en-GB"/>
        </w:rPr>
        <w:t xml:space="preserve"> / </w:t>
      </w:r>
      <w:r w:rsidR="00BA22A1" w:rsidRPr="00BA22A1">
        <w:rPr>
          <w:rFonts w:ascii="Times New Roman" w:hAnsi="Times New Roman"/>
          <w:i/>
          <w:sz w:val="24"/>
          <w:szCs w:val="24"/>
          <w:highlight w:val="yellow"/>
          <w:lang w:val="en-GB"/>
        </w:rPr>
        <w:t>CAL or EPS</w:t>
      </w:r>
    </w:p>
    <w:p w:rsidR="00723172"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w:t>
      </w:r>
      <w:proofErr w:type="spellStart"/>
      <w:r w:rsidRPr="009A547F">
        <w:rPr>
          <w:rFonts w:ascii="Times New Roman" w:eastAsia="Times New Roman" w:hAnsi="Times New Roman"/>
          <w:color w:val="000000" w:themeColor="text1"/>
          <w:sz w:val="24"/>
          <w:szCs w:val="24"/>
          <w:lang w:val="fr-FR" w:eastAsia="en-GB"/>
        </w:rPr>
        <w:t>Vinon</w:t>
      </w:r>
      <w:proofErr w:type="spellEnd"/>
      <w:r w:rsidRPr="009A547F">
        <w:rPr>
          <w:rFonts w:ascii="Times New Roman" w:eastAsia="Times New Roman" w:hAnsi="Times New Roman"/>
          <w:color w:val="000000" w:themeColor="text1"/>
          <w:sz w:val="24"/>
          <w:szCs w:val="24"/>
          <w:lang w:val="fr-FR" w:eastAsia="en-GB"/>
        </w:rPr>
        <w:t xml:space="preserve">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w:t>
      </w:r>
      <w:r w:rsidR="000E21CD" w:rsidRPr="009A547F">
        <w:rPr>
          <w:rFonts w:ascii="Times New Roman" w:eastAsia="Times New Roman" w:hAnsi="Times New Roman"/>
          <w:color w:val="000000" w:themeColor="text1"/>
          <w:sz w:val="24"/>
          <w:szCs w:val="24"/>
          <w:lang w:val="fr-FR" w:eastAsia="en-GB"/>
        </w:rPr>
        <w:t>3067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D5277"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Email : </w:t>
      </w:r>
    </w:p>
    <w:p w:rsidR="00723172" w:rsidRPr="00220BAA" w:rsidRDefault="006D5277" w:rsidP="00F32DDE">
      <w:pPr>
        <w:tabs>
          <w:tab w:val="left" w:pos="510"/>
          <w:tab w:val="num" w:pos="1485"/>
          <w:tab w:val="left" w:pos="10977"/>
        </w:tabs>
        <w:ind w:left="360" w:firstLine="774"/>
        <w:jc w:val="both"/>
        <w:outlineLvl w:val="0"/>
        <w:rPr>
          <w:rFonts w:ascii="Times New Roman" w:hAnsi="Times New Roman"/>
          <w:sz w:val="24"/>
          <w:szCs w:val="24"/>
          <w:lang w:val="fr-FR"/>
        </w:rPr>
      </w:pPr>
      <w:r>
        <w:rPr>
          <w:rFonts w:ascii="Times New Roman" w:hAnsi="Times New Roman"/>
          <w:color w:val="000000" w:themeColor="text1"/>
          <w:sz w:val="24"/>
          <w:szCs w:val="24"/>
          <w:highlight w:val="yellow"/>
          <w:lang w:val="fr-FR"/>
        </w:rPr>
        <w:t xml:space="preserve">Tel : </w:t>
      </w:r>
      <w:r w:rsidR="00723172" w:rsidRPr="00220BAA" w:rsidDel="00F70DC6">
        <w:rPr>
          <w:rFonts w:ascii="Times New Roman" w:hAnsi="Times New Roman"/>
          <w:sz w:val="24"/>
          <w:szCs w:val="24"/>
          <w:highlight w:val="yellow"/>
          <w:lang w:val="fr-FR"/>
        </w:rPr>
        <w:t xml:space="preserve"> </w:t>
      </w: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w:t>
      </w:r>
      <w:proofErr w:type="spellStart"/>
      <w:r w:rsidRPr="009A547F">
        <w:rPr>
          <w:rFonts w:ascii="Times New Roman" w:eastAsia="Times New Roman" w:hAnsi="Times New Roman"/>
          <w:color w:val="000000" w:themeColor="text1"/>
          <w:sz w:val="24"/>
          <w:szCs w:val="24"/>
          <w:lang w:val="fr-FR" w:eastAsia="en-GB"/>
        </w:rPr>
        <w:t>Vinon</w:t>
      </w:r>
      <w:proofErr w:type="spellEnd"/>
      <w:r w:rsidRPr="009A547F">
        <w:rPr>
          <w:rFonts w:ascii="Times New Roman" w:eastAsia="Times New Roman" w:hAnsi="Times New Roman"/>
          <w:color w:val="000000" w:themeColor="text1"/>
          <w:sz w:val="24"/>
          <w:szCs w:val="24"/>
          <w:lang w:val="fr-FR" w:eastAsia="en-GB"/>
        </w:rPr>
        <w:t xml:space="preserve">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Email : </w:t>
      </w:r>
      <w:r w:rsidRPr="006820E3">
        <w:rPr>
          <w:rFonts w:ascii="Times New Roman" w:hAnsi="Times New Roman"/>
          <w:color w:val="000000" w:themeColor="text1"/>
          <w:sz w:val="24"/>
          <w:szCs w:val="24"/>
          <w:lang w:val="fr-FR"/>
        </w:rPr>
        <w:t>accounting@iter.org</w:t>
      </w:r>
    </w:p>
    <w:p w:rsidR="00723172" w:rsidRPr="00220BAA" w:rsidRDefault="006820E3" w:rsidP="00F32DDE">
      <w:pPr>
        <w:tabs>
          <w:tab w:val="left" w:pos="510"/>
          <w:tab w:val="num" w:pos="1485"/>
          <w:tab w:val="left" w:pos="10977"/>
        </w:tabs>
        <w:ind w:left="360" w:firstLine="774"/>
        <w:jc w:val="both"/>
        <w:outlineLvl w:val="0"/>
        <w:rPr>
          <w:rFonts w:ascii="Times New Roman" w:hAnsi="Times New Roman"/>
          <w:sz w:val="24"/>
          <w:szCs w:val="24"/>
          <w:lang w:val="fr-FR"/>
        </w:rPr>
      </w:pPr>
      <w:r>
        <w:rPr>
          <w:rFonts w:ascii="Times New Roman" w:hAnsi="Times New Roman"/>
          <w:color w:val="000000" w:themeColor="text1"/>
          <w:sz w:val="24"/>
          <w:szCs w:val="24"/>
          <w:highlight w:val="yellow"/>
          <w:lang w:val="fr-FR"/>
        </w:rPr>
        <w:t xml:space="preserve">Tel : </w:t>
      </w: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rsidR="006E315C"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rsidR="006820E3" w:rsidRPr="00900263"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A54F70" w:rsidRPr="00220BAA" w:rsidRDefault="006820E3" w:rsidP="00F32DDE">
      <w:pPr>
        <w:tabs>
          <w:tab w:val="left" w:pos="709"/>
          <w:tab w:val="num" w:pos="1134"/>
          <w:tab w:val="left" w:pos="10977"/>
        </w:tabs>
        <w:ind w:left="1440" w:hanging="306"/>
        <w:jc w:val="both"/>
        <w:outlineLvl w:val="0"/>
        <w:rPr>
          <w:rFonts w:ascii="Times New Roman" w:hAnsi="Times New Roman"/>
          <w:sz w:val="24"/>
          <w:szCs w:val="24"/>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Pr="006D5277" w:rsidDel="00006680">
        <w:rPr>
          <w:rFonts w:ascii="Times New Roman" w:hAnsi="Times New Roman"/>
          <w:color w:val="000000" w:themeColor="text1"/>
          <w:sz w:val="24"/>
          <w:szCs w:val="24"/>
          <w:highlight w:val="yellow"/>
          <w:lang w:val="fr-FR"/>
        </w:rPr>
        <w:t xml:space="preserve"> </w:t>
      </w: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proofErr w:type="spellStart"/>
      <w:r w:rsidRPr="00220BAA">
        <w:rPr>
          <w:rFonts w:ascii="Times New Roman" w:hAnsi="Times New Roman"/>
          <w:sz w:val="24"/>
          <w:szCs w:val="24"/>
          <w:highlight w:val="yellow"/>
        </w:rPr>
        <w:t>Mr</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Mrs</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Ms</w:t>
      </w:r>
      <w:proofErr w:type="spellEnd"/>
      <w:r w:rsidRPr="00220BAA">
        <w:rPr>
          <w:rFonts w:ascii="Times New Roman" w:hAnsi="Times New Roman"/>
          <w:sz w:val="24"/>
          <w:szCs w:val="24"/>
          <w:highlight w:val="yellow"/>
        </w:rPr>
        <w:t xml:space="preserve"> [complete]</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lastRenderedPageBreak/>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820E3" w:rsidRPr="00900263"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proofErr w:type="gramStart"/>
      <w:r w:rsidRPr="00900263">
        <w:rPr>
          <w:rFonts w:ascii="Times New Roman" w:eastAsia="Times New Roman" w:hAnsi="Times New Roman"/>
          <w:color w:val="000000" w:themeColor="text1"/>
          <w:sz w:val="24"/>
          <w:szCs w:val="24"/>
          <w:highlight w:val="yellow"/>
          <w:lang w:val="en-GB" w:eastAsia="en-GB"/>
        </w:rPr>
        <w:t>Email :</w:t>
      </w:r>
      <w:proofErr w:type="gramEnd"/>
      <w:r w:rsidRPr="00900263">
        <w:rPr>
          <w:rFonts w:ascii="Times New Roman" w:eastAsia="Times New Roman" w:hAnsi="Times New Roman"/>
          <w:color w:val="000000" w:themeColor="text1"/>
          <w:sz w:val="24"/>
          <w:szCs w:val="24"/>
          <w:highlight w:val="yellow"/>
          <w:lang w:val="en-GB" w:eastAsia="en-GB"/>
        </w:rPr>
        <w:t xml:space="preserve"> </w:t>
      </w:r>
    </w:p>
    <w:p w:rsidR="006820E3" w:rsidRPr="00900263"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proofErr w:type="gramStart"/>
      <w:r w:rsidRPr="00900263">
        <w:rPr>
          <w:rFonts w:ascii="Times New Roman" w:eastAsia="Times New Roman" w:hAnsi="Times New Roman"/>
          <w:color w:val="000000" w:themeColor="text1"/>
          <w:sz w:val="24"/>
          <w:szCs w:val="24"/>
          <w:highlight w:val="yellow"/>
          <w:lang w:val="en-GB" w:eastAsia="en-GB"/>
        </w:rPr>
        <w:t>Tel :</w:t>
      </w:r>
      <w:proofErr w:type="gramEnd"/>
      <w:r w:rsidRPr="00900263">
        <w:rPr>
          <w:rFonts w:ascii="Times New Roman" w:eastAsia="Times New Roman" w:hAnsi="Times New Roman"/>
          <w:color w:val="000000" w:themeColor="text1"/>
          <w:sz w:val="24"/>
          <w:szCs w:val="24"/>
          <w:highlight w:val="yellow"/>
          <w:lang w:val="en-GB" w:eastAsia="en-GB"/>
        </w:rPr>
        <w:t xml:space="preserve"> </w:t>
      </w:r>
      <w:r w:rsidRPr="00900263" w:rsidDel="00006680">
        <w:rPr>
          <w:rFonts w:ascii="Times New Roman" w:hAnsi="Times New Roman"/>
          <w:color w:val="000000" w:themeColor="text1"/>
          <w:sz w:val="24"/>
          <w:szCs w:val="24"/>
          <w:highlight w:val="yellow"/>
          <w:lang w:val="en-GB"/>
        </w:rPr>
        <w:t xml:space="preserve"> </w:t>
      </w:r>
    </w:p>
    <w:p w:rsidR="00622EA0" w:rsidRDefault="00622EA0" w:rsidP="00843439">
      <w:pPr>
        <w:jc w:val="both"/>
        <w:rPr>
          <w:rFonts w:ascii="Times New Roman" w:hAnsi="Times New Roman"/>
          <w:sz w:val="24"/>
          <w:szCs w:val="24"/>
        </w:rPr>
      </w:pPr>
    </w:p>
    <w:p w:rsidR="006E315C" w:rsidRPr="00220BAA" w:rsidRDefault="006E315C"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8</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proofErr w:type="gramStart"/>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proofErr w:type="gramEnd"/>
      <w:r w:rsidRPr="00220BAA">
        <w:rPr>
          <w:rFonts w:ascii="Times New Roman" w:hAnsi="Times New Roman"/>
          <w:snapToGrid w:val="0"/>
          <w:sz w:val="24"/>
          <w:szCs w:val="24"/>
        </w:rPr>
        <w:t>.</w:t>
      </w:r>
    </w:p>
    <w:p w:rsidR="00622EA0" w:rsidRDefault="00622EA0" w:rsidP="00843439">
      <w:pPr>
        <w:jc w:val="both"/>
        <w:rPr>
          <w:rFonts w:ascii="Times New Roman" w:hAnsi="Times New Roman"/>
          <w:snapToGrid w:val="0"/>
          <w:sz w:val="24"/>
          <w:szCs w:val="24"/>
        </w:rPr>
      </w:pPr>
    </w:p>
    <w:p w:rsidR="00F32DDE" w:rsidRPr="00220BAA" w:rsidRDefault="00F32DDE"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9</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B87AEA">
        <w:rPr>
          <w:rFonts w:ascii="Times New Roman" w:hAnsi="Times New Roman"/>
          <w:sz w:val="24"/>
          <w:szCs w:val="24"/>
        </w:rPr>
        <w:t xml:space="preserve">Contract </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6820E3" w:rsidRDefault="006820E3" w:rsidP="00843439">
      <w:pPr>
        <w:jc w:val="both"/>
        <w:rPr>
          <w:rFonts w:ascii="Times New Roman" w:hAnsi="Times New Roman"/>
          <w:snapToGrid w:val="0"/>
          <w:sz w:val="24"/>
          <w:szCs w:val="24"/>
        </w:rPr>
      </w:pPr>
    </w:p>
    <w:p w:rsidR="00622EA0" w:rsidRPr="00F32DDE" w:rsidRDefault="00622EA0" w:rsidP="00843439">
      <w:pPr>
        <w:jc w:val="both"/>
        <w:rPr>
          <w:rFonts w:ascii="Times New Roman" w:hAnsi="Times New Roman"/>
          <w:b/>
          <w:caps/>
          <w:sz w:val="24"/>
          <w:szCs w:val="24"/>
        </w:rPr>
      </w:pPr>
      <w:r w:rsidRPr="00F32DDE">
        <w:rPr>
          <w:rFonts w:ascii="Times New Roman" w:hAnsi="Times New Roman"/>
          <w:b/>
          <w:caps/>
          <w:sz w:val="24"/>
          <w:szCs w:val="24"/>
          <w:u w:val="single"/>
        </w:rPr>
        <w:t>Article I.</w:t>
      </w:r>
      <w:r w:rsidR="003B52CC" w:rsidRPr="00F32DDE">
        <w:rPr>
          <w:rFonts w:ascii="Times New Roman" w:hAnsi="Times New Roman"/>
          <w:b/>
          <w:caps/>
          <w:sz w:val="24"/>
          <w:szCs w:val="24"/>
          <w:u w:val="single"/>
        </w:rPr>
        <w:t>10</w:t>
      </w:r>
      <w:r w:rsidR="00E07A6A" w:rsidRPr="00F32DDE">
        <w:rPr>
          <w:rFonts w:ascii="Times New Roman" w:hAnsi="Times New Roman"/>
          <w:b/>
          <w:caps/>
          <w:sz w:val="24"/>
          <w:szCs w:val="24"/>
          <w:u w:val="single"/>
        </w:rPr>
        <w:t xml:space="preserve"> </w:t>
      </w:r>
      <w:r w:rsidRPr="00F32DDE">
        <w:rPr>
          <w:rFonts w:ascii="Times New Roman" w:hAnsi="Times New Roman"/>
          <w:b/>
          <w:caps/>
          <w:sz w:val="24"/>
          <w:szCs w:val="24"/>
          <w:u w:val="single"/>
        </w:rPr>
        <w:t>– Other Special Conditions</w:t>
      </w:r>
    </w:p>
    <w:p w:rsidR="00622EA0" w:rsidRPr="00220BAA" w:rsidRDefault="00622EA0" w:rsidP="00843439">
      <w:pPr>
        <w:jc w:val="both"/>
        <w:rPr>
          <w:rFonts w:ascii="Times New Roman" w:hAnsi="Times New Roman"/>
          <w:snapToGrid w:val="0"/>
          <w:sz w:val="24"/>
          <w:szCs w:val="24"/>
        </w:rPr>
      </w:pPr>
    </w:p>
    <w:p w:rsidR="00EE1D70" w:rsidRDefault="00EE1D70" w:rsidP="00EE1D70">
      <w:pPr>
        <w:ind w:left="720" w:hanging="720"/>
        <w:jc w:val="both"/>
        <w:rPr>
          <w:rFonts w:ascii="Times New Roman" w:hAnsi="Times New Roman"/>
          <w:snapToGrid w:val="0"/>
          <w:sz w:val="24"/>
          <w:szCs w:val="24"/>
        </w:rPr>
      </w:pPr>
      <w:r>
        <w:rPr>
          <w:rFonts w:ascii="Times New Roman" w:hAnsi="Times New Roman"/>
          <w:b/>
          <w:snapToGrid w:val="0"/>
          <w:sz w:val="24"/>
          <w:szCs w:val="24"/>
        </w:rPr>
        <w:t>I.10.1</w:t>
      </w:r>
      <w:r>
        <w:rPr>
          <w:rFonts w:ascii="Times New Roman" w:hAnsi="Times New Roman"/>
          <w:b/>
          <w:snapToGrid w:val="0"/>
          <w:sz w:val="24"/>
          <w:szCs w:val="24"/>
        </w:rPr>
        <w:tab/>
      </w:r>
      <w:r w:rsidRPr="005E4093">
        <w:rPr>
          <w:rFonts w:ascii="Times New Roman" w:hAnsi="Times New Roman"/>
          <w:snapToGrid w:val="0"/>
          <w:sz w:val="24"/>
          <w:szCs w:val="24"/>
        </w:rPr>
        <w:t xml:space="preserve">The conditions in </w:t>
      </w:r>
      <w:proofErr w:type="spellStart"/>
      <w:r w:rsidRPr="005E4093">
        <w:rPr>
          <w:rFonts w:ascii="Times New Roman" w:hAnsi="Times New Roman"/>
          <w:snapToGrid w:val="0"/>
          <w:sz w:val="24"/>
          <w:szCs w:val="24"/>
        </w:rPr>
        <w:t>Aricle</w:t>
      </w:r>
      <w:proofErr w:type="spellEnd"/>
      <w:r w:rsidRPr="005E4093">
        <w:rPr>
          <w:rFonts w:ascii="Times New Roman" w:hAnsi="Times New Roman"/>
          <w:snapToGrid w:val="0"/>
          <w:sz w:val="24"/>
          <w:szCs w:val="24"/>
        </w:rPr>
        <w:t xml:space="preserve"> 2 of the Annex I </w:t>
      </w:r>
      <w:proofErr w:type="gramStart"/>
      <w:r w:rsidRPr="005E4093">
        <w:rPr>
          <w:rFonts w:ascii="Times New Roman" w:hAnsi="Times New Roman"/>
          <w:snapToGrid w:val="0"/>
          <w:sz w:val="24"/>
          <w:szCs w:val="24"/>
        </w:rPr>
        <w:t>are replaced</w:t>
      </w:r>
      <w:proofErr w:type="gramEnd"/>
      <w:r w:rsidRPr="005E4093">
        <w:rPr>
          <w:rFonts w:ascii="Times New Roman" w:hAnsi="Times New Roman"/>
          <w:snapToGrid w:val="0"/>
          <w:sz w:val="24"/>
          <w:szCs w:val="24"/>
        </w:rPr>
        <w:t xml:space="preserve"> with the following:</w:t>
      </w:r>
    </w:p>
    <w:p w:rsidR="00EE1D70" w:rsidRPr="005E4093" w:rsidRDefault="00EE1D70" w:rsidP="00EE1D70">
      <w:pPr>
        <w:ind w:left="720" w:hanging="720"/>
        <w:jc w:val="both"/>
        <w:rPr>
          <w:rFonts w:ascii="Times New Roman" w:hAnsi="Times New Roman"/>
          <w:snapToGrid w:val="0"/>
          <w:sz w:val="24"/>
          <w:szCs w:val="24"/>
        </w:rPr>
      </w:pPr>
    </w:p>
    <w:p w:rsidR="00EE1D70" w:rsidRPr="005E4093" w:rsidRDefault="00EE1D70" w:rsidP="00EE1D70">
      <w:pPr>
        <w:ind w:left="720" w:hanging="720"/>
        <w:jc w:val="both"/>
        <w:rPr>
          <w:rFonts w:ascii="Times New Roman" w:hAnsi="Times New Roman"/>
          <w:b/>
          <w:snapToGrid w:val="0"/>
          <w:sz w:val="24"/>
          <w:szCs w:val="24"/>
        </w:rPr>
      </w:pPr>
      <w:r w:rsidRPr="005E4093">
        <w:rPr>
          <w:rFonts w:ascii="Times New Roman" w:hAnsi="Times New Roman"/>
          <w:b/>
          <w:snapToGrid w:val="0"/>
          <w:sz w:val="24"/>
          <w:szCs w:val="24"/>
        </w:rPr>
        <w:t xml:space="preserve">2.1 </w:t>
      </w:r>
      <w:r>
        <w:rPr>
          <w:rFonts w:ascii="Times New Roman" w:hAnsi="Times New Roman"/>
          <w:b/>
          <w:snapToGrid w:val="0"/>
          <w:sz w:val="24"/>
          <w:szCs w:val="24"/>
        </w:rPr>
        <w:tab/>
      </w:r>
      <w:r w:rsidRPr="005E4093">
        <w:rPr>
          <w:rFonts w:ascii="Times New Roman" w:hAnsi="Times New Roman"/>
          <w:snapToGrid w:val="0"/>
          <w:sz w:val="24"/>
          <w:szCs w:val="24"/>
        </w:rPr>
        <w:t xml:space="preserve">The ITER Organization </w:t>
      </w:r>
      <w:proofErr w:type="gramStart"/>
      <w:r w:rsidRPr="005E4093">
        <w:rPr>
          <w:rFonts w:ascii="Times New Roman" w:hAnsi="Times New Roman"/>
          <w:snapToGrid w:val="0"/>
          <w:sz w:val="24"/>
          <w:szCs w:val="24"/>
        </w:rPr>
        <w:t>is governed</w:t>
      </w:r>
      <w:proofErr w:type="gramEnd"/>
      <w:r w:rsidRPr="005E4093">
        <w:rPr>
          <w:rFonts w:ascii="Times New Roman" w:hAnsi="Times New Roman"/>
          <w:snapToGrid w:val="0"/>
          <w:sz w:val="24"/>
          <w:szCs w:val="24"/>
        </w:rPr>
        <w:t xml:space="preserve"> by its constitutive agreements, the Agreement on the Establishment of the ITER International Fusion Energy Organization for the Joint Implementation of the ITER Project and the Agreement on the Privileges and Immunities of the ITER Organization both signed on 21 November 2006.</w:t>
      </w:r>
    </w:p>
    <w:p w:rsidR="00EE1D70" w:rsidRDefault="00EE1D70" w:rsidP="00EE1D70">
      <w:pPr>
        <w:jc w:val="both"/>
        <w:rPr>
          <w:rFonts w:ascii="Times New Roman" w:hAnsi="Times New Roman"/>
          <w:color w:val="000000"/>
          <w:sz w:val="24"/>
          <w:szCs w:val="24"/>
        </w:rPr>
      </w:pPr>
    </w:p>
    <w:p w:rsidR="00EE1D70" w:rsidRDefault="00EE1D70" w:rsidP="00EE1D70">
      <w:pPr>
        <w:ind w:left="720" w:hanging="720"/>
        <w:rPr>
          <w:rFonts w:ascii="Times New Roman" w:hAnsi="Times New Roman"/>
          <w:color w:val="000000"/>
          <w:sz w:val="24"/>
          <w:szCs w:val="24"/>
        </w:rPr>
      </w:pPr>
      <w:r w:rsidRPr="005E4093">
        <w:rPr>
          <w:rFonts w:ascii="Times New Roman" w:hAnsi="Times New Roman"/>
          <w:b/>
          <w:snapToGrid w:val="0"/>
          <w:sz w:val="24"/>
          <w:szCs w:val="24"/>
        </w:rPr>
        <w:t>2.2</w:t>
      </w:r>
      <w:r w:rsidRPr="005E4093">
        <w:rPr>
          <w:rFonts w:ascii="Times New Roman" w:hAnsi="Times New Roman"/>
          <w:b/>
          <w:snapToGrid w:val="0"/>
          <w:sz w:val="24"/>
          <w:szCs w:val="24"/>
        </w:rPr>
        <w:tab/>
      </w:r>
      <w:r w:rsidRPr="005E4093">
        <w:rPr>
          <w:rFonts w:ascii="Times New Roman" w:hAnsi="Times New Roman"/>
          <w:snapToGrid w:val="0"/>
          <w:sz w:val="24"/>
          <w:szCs w:val="24"/>
        </w:rPr>
        <w:t xml:space="preserve">Without prejudice to the ITER Organization’s status, the contract </w:t>
      </w:r>
      <w:proofErr w:type="gramStart"/>
      <w:r w:rsidRPr="005E4093">
        <w:rPr>
          <w:rFonts w:ascii="Times New Roman" w:hAnsi="Times New Roman"/>
          <w:snapToGrid w:val="0"/>
          <w:sz w:val="24"/>
          <w:szCs w:val="24"/>
        </w:rPr>
        <w:t>shall be governed</w:t>
      </w:r>
      <w:proofErr w:type="gramEnd"/>
      <w:r w:rsidRPr="005E4093">
        <w:rPr>
          <w:rFonts w:ascii="Times New Roman" w:hAnsi="Times New Roman"/>
          <w:snapToGrid w:val="0"/>
          <w:sz w:val="24"/>
          <w:szCs w:val="24"/>
        </w:rPr>
        <w:t xml:space="preserve"> in accordance with its true meaning and effect.</w:t>
      </w:r>
      <w:r>
        <w:rPr>
          <w:rFonts w:ascii="Times New Roman" w:hAnsi="Times New Roman"/>
          <w:snapToGrid w:val="0"/>
          <w:sz w:val="24"/>
          <w:szCs w:val="24"/>
        </w:rPr>
        <w:br/>
      </w:r>
      <w:proofErr w:type="spellStart"/>
      <w:r>
        <w:rPr>
          <w:rFonts w:ascii="Times New Roman" w:hAnsi="Times New Roman"/>
          <w:color w:val="000000"/>
          <w:sz w:val="24"/>
          <w:szCs w:val="24"/>
        </w:rPr>
        <w:t>Subsidiari</w:t>
      </w:r>
      <w:r>
        <w:rPr>
          <w:rFonts w:ascii="Times New Roman" w:hAnsi="Times New Roman"/>
          <w:color w:val="1F497D"/>
          <w:sz w:val="24"/>
          <w:szCs w:val="24"/>
        </w:rPr>
        <w:t>l</w:t>
      </w:r>
      <w:r>
        <w:rPr>
          <w:rFonts w:ascii="Times New Roman" w:hAnsi="Times New Roman"/>
          <w:color w:val="000000"/>
          <w:sz w:val="24"/>
          <w:szCs w:val="24"/>
        </w:rPr>
        <w:t>y</w:t>
      </w:r>
      <w:proofErr w:type="spellEnd"/>
      <w:r>
        <w:rPr>
          <w:rFonts w:ascii="Times New Roman" w:hAnsi="Times New Roman"/>
          <w:color w:val="000000"/>
          <w:sz w:val="24"/>
          <w:szCs w:val="24"/>
        </w:rPr>
        <w:t xml:space="preserve">, reference to French law </w:t>
      </w:r>
      <w:proofErr w:type="gramStart"/>
      <w:r>
        <w:rPr>
          <w:rFonts w:ascii="Times New Roman" w:hAnsi="Times New Roman"/>
          <w:color w:val="000000"/>
          <w:sz w:val="24"/>
          <w:szCs w:val="24"/>
        </w:rPr>
        <w:t>shall be made</w:t>
      </w:r>
      <w:proofErr w:type="gramEnd"/>
      <w:r>
        <w:rPr>
          <w:rFonts w:ascii="Times New Roman" w:hAnsi="Times New Roman"/>
          <w:color w:val="000000"/>
          <w:sz w:val="24"/>
          <w:szCs w:val="24"/>
        </w:rPr>
        <w:t xml:space="preserve"> for, and only for:</w:t>
      </w:r>
    </w:p>
    <w:p w:rsidR="00EE1D70" w:rsidRDefault="00EE1D70" w:rsidP="00EE1D70">
      <w:pPr>
        <w:pStyle w:val="ListParagraph"/>
        <w:numPr>
          <w:ilvl w:val="0"/>
          <w:numId w:val="7"/>
        </w:numPr>
        <w:spacing w:line="240" w:lineRule="auto"/>
        <w:ind w:hanging="630"/>
        <w:jc w:val="both"/>
        <w:rPr>
          <w:rFonts w:ascii="Times New Roman" w:hAnsi="Times New Roman"/>
          <w:color w:val="000000"/>
          <w:sz w:val="24"/>
          <w:szCs w:val="24"/>
        </w:rPr>
      </w:pPr>
      <w:r>
        <w:rPr>
          <w:rFonts w:ascii="Times New Roman" w:hAnsi="Times New Roman"/>
          <w:color w:val="000000"/>
          <w:sz w:val="24"/>
          <w:szCs w:val="24"/>
        </w:rPr>
        <w:t>the interpretation of a contract provision when such provision is ambiguous or unclear, in which case, such interpretation shall only be made for said provision, and not in respect of the contract as a whole;  or</w:t>
      </w:r>
    </w:p>
    <w:p w:rsidR="00EE1D70" w:rsidRDefault="00EE1D70" w:rsidP="00EE1D70">
      <w:pPr>
        <w:pStyle w:val="ListParagraph"/>
        <w:numPr>
          <w:ilvl w:val="0"/>
          <w:numId w:val="7"/>
        </w:numPr>
        <w:spacing w:line="240" w:lineRule="auto"/>
        <w:ind w:hanging="630"/>
        <w:jc w:val="both"/>
        <w:rPr>
          <w:rFonts w:ascii="Times New Roman" w:hAnsi="Times New Roman"/>
          <w:color w:val="000000"/>
          <w:sz w:val="24"/>
          <w:szCs w:val="24"/>
        </w:rPr>
      </w:pPr>
      <w:proofErr w:type="gramStart"/>
      <w:r>
        <w:rPr>
          <w:rFonts w:ascii="Times New Roman" w:hAnsi="Times New Roman"/>
          <w:color w:val="000000"/>
          <w:sz w:val="24"/>
          <w:szCs w:val="24"/>
        </w:rPr>
        <w:t>when</w:t>
      </w:r>
      <w:proofErr w:type="gramEnd"/>
      <w:r>
        <w:rPr>
          <w:rFonts w:ascii="Times New Roman" w:hAnsi="Times New Roman"/>
          <w:color w:val="000000"/>
          <w:sz w:val="24"/>
          <w:szCs w:val="24"/>
        </w:rPr>
        <w:t xml:space="preserve"> specific provisions of French law are of overriding mandatory effect.</w:t>
      </w:r>
    </w:p>
    <w:p w:rsidR="00EE1D70" w:rsidRDefault="00EE1D70" w:rsidP="00EE1D70">
      <w:pPr>
        <w:jc w:val="both"/>
        <w:rPr>
          <w:rFonts w:ascii="Times New Roman" w:hAnsi="Times New Roman"/>
          <w:color w:val="000000"/>
          <w:sz w:val="24"/>
          <w:szCs w:val="24"/>
        </w:rPr>
      </w:pPr>
    </w:p>
    <w:p w:rsidR="00EE1D70" w:rsidRDefault="00EE1D70" w:rsidP="00EE1D70">
      <w:pPr>
        <w:jc w:val="both"/>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b/>
          <w:bCs/>
          <w:color w:val="000000"/>
          <w:sz w:val="24"/>
          <w:szCs w:val="24"/>
        </w:rPr>
        <w:tab/>
      </w:r>
      <w:r>
        <w:rPr>
          <w:rFonts w:ascii="Times New Roman" w:hAnsi="Times New Roman"/>
          <w:color w:val="000000"/>
          <w:sz w:val="24"/>
          <w:szCs w:val="24"/>
        </w:rPr>
        <w:t xml:space="preserve">The language used shall be English. </w:t>
      </w:r>
    </w:p>
    <w:p w:rsidR="00EE1D70" w:rsidRDefault="00EE1D70" w:rsidP="00843439">
      <w:pPr>
        <w:jc w:val="both"/>
        <w:rPr>
          <w:rFonts w:ascii="Times New Roman" w:hAnsi="Times New Roman"/>
          <w:i/>
          <w:snapToGrid w:val="0"/>
          <w:sz w:val="24"/>
          <w:szCs w:val="24"/>
        </w:rPr>
      </w:pPr>
    </w:p>
    <w:p w:rsidR="00622EA0" w:rsidRPr="00220BAA" w:rsidRDefault="00F32DDE" w:rsidP="00843439">
      <w:pPr>
        <w:jc w:val="both"/>
        <w:rPr>
          <w:rFonts w:ascii="Times New Roman" w:hAnsi="Times New Roman"/>
          <w:i/>
          <w:snapToGrid w:val="0"/>
          <w:sz w:val="24"/>
          <w:szCs w:val="24"/>
        </w:rPr>
      </w:pPr>
      <w:r w:rsidRPr="00F32DDE">
        <w:rPr>
          <w:rFonts w:ascii="Times New Roman" w:hAnsi="Times New Roman"/>
          <w:b/>
          <w:snapToGrid w:val="0"/>
          <w:sz w:val="24"/>
          <w:szCs w:val="24"/>
        </w:rPr>
        <w:t>I.10.2</w:t>
      </w:r>
      <w:r>
        <w:rPr>
          <w:rFonts w:ascii="Times New Roman" w:hAnsi="Times New Roman"/>
          <w:i/>
          <w:snapToGrid w:val="0"/>
          <w:sz w:val="24"/>
          <w:szCs w:val="24"/>
        </w:rPr>
        <w:tab/>
      </w:r>
      <w:r w:rsidR="00622EA0" w:rsidRPr="00220BAA">
        <w:rPr>
          <w:rFonts w:ascii="Times New Roman" w:hAnsi="Times New Roman"/>
          <w:snapToGrid w:val="0"/>
          <w:sz w:val="24"/>
          <w:szCs w:val="24"/>
        </w:rPr>
        <w:t>Article</w:t>
      </w:r>
      <w:r w:rsidR="00A53EF7">
        <w:rPr>
          <w:rFonts w:ascii="Times New Roman" w:hAnsi="Times New Roman"/>
          <w:snapToGrid w:val="0"/>
          <w:sz w:val="24"/>
          <w:szCs w:val="24"/>
        </w:rPr>
        <w:t xml:space="preserve"> </w:t>
      </w:r>
      <w:r w:rsidR="00D60A2C">
        <w:rPr>
          <w:rFonts w:ascii="Times New Roman" w:hAnsi="Times New Roman"/>
          <w:snapToGrid w:val="0"/>
          <w:sz w:val="24"/>
          <w:szCs w:val="24"/>
        </w:rPr>
        <w:t xml:space="preserve">8.2 </w:t>
      </w:r>
      <w:r w:rsidR="00DD0B3D">
        <w:rPr>
          <w:rFonts w:ascii="Times New Roman" w:hAnsi="Times New Roman"/>
          <w:snapToGrid w:val="0"/>
          <w:sz w:val="24"/>
          <w:szCs w:val="24"/>
        </w:rPr>
        <w:t>of Annex I</w:t>
      </w:r>
      <w:r w:rsidR="00622EA0" w:rsidRPr="00220BAA">
        <w:rPr>
          <w:rFonts w:ascii="Times New Roman" w:hAnsi="Times New Roman"/>
          <w:snapToGrid w:val="0"/>
          <w:sz w:val="24"/>
          <w:szCs w:val="24"/>
        </w:rPr>
        <w:t xml:space="preserve">: The </w:t>
      </w:r>
      <w:proofErr w:type="gramStart"/>
      <w:r w:rsidR="00622EA0" w:rsidRPr="00220BAA">
        <w:rPr>
          <w:rFonts w:ascii="Times New Roman" w:hAnsi="Times New Roman"/>
          <w:snapToGrid w:val="0"/>
          <w:sz w:val="24"/>
          <w:szCs w:val="24"/>
        </w:rPr>
        <w:t>period of time</w:t>
      </w:r>
      <w:proofErr w:type="gramEnd"/>
      <w:r w:rsidR="00622EA0" w:rsidRPr="00220BAA">
        <w:rPr>
          <w:rFonts w:ascii="Times New Roman" w:hAnsi="Times New Roman"/>
          <w:snapToGrid w:val="0"/>
          <w:sz w:val="24"/>
          <w:szCs w:val="24"/>
        </w:rPr>
        <w:t xml:space="preserve"> in which to approve the report is </w:t>
      </w:r>
      <w:r>
        <w:rPr>
          <w:rFonts w:ascii="Times New Roman" w:hAnsi="Times New Roman"/>
          <w:snapToGrid w:val="0"/>
          <w:sz w:val="24"/>
          <w:szCs w:val="24"/>
        </w:rPr>
        <w:t>20</w:t>
      </w:r>
      <w:r w:rsidR="00622EA0" w:rsidRPr="00220BAA">
        <w:rPr>
          <w:rFonts w:ascii="Times New Roman" w:hAnsi="Times New Roman"/>
          <w:snapToGrid w:val="0"/>
          <w:sz w:val="24"/>
          <w:szCs w:val="24"/>
        </w:rPr>
        <w:t xml:space="preserve"> calendar days</w:t>
      </w:r>
      <w:r>
        <w:rPr>
          <w:rFonts w:ascii="Times New Roman" w:hAnsi="Times New Roman"/>
          <w:snapToGrid w:val="0"/>
          <w:sz w:val="24"/>
          <w:szCs w:val="24"/>
        </w:rPr>
        <w:t>.</w:t>
      </w:r>
      <w:r w:rsidR="00622EA0" w:rsidRPr="00220BAA">
        <w:rPr>
          <w:rFonts w:ascii="Times New Roman" w:hAnsi="Times New Roman"/>
          <w:snapToGrid w:val="0"/>
          <w:sz w:val="24"/>
          <w:szCs w:val="24"/>
        </w:rPr>
        <w:t xml:space="preserve"> </w:t>
      </w:r>
    </w:p>
    <w:p w:rsidR="00622EA0" w:rsidRDefault="00622EA0" w:rsidP="00843439">
      <w:pPr>
        <w:jc w:val="both"/>
        <w:rPr>
          <w:rFonts w:ascii="Times New Roman" w:hAnsi="Times New Roman"/>
          <w:snapToGrid w:val="0"/>
          <w:sz w:val="24"/>
          <w:szCs w:val="24"/>
        </w:rPr>
      </w:pPr>
    </w:p>
    <w:p w:rsidR="00F32DDE" w:rsidRDefault="00F32DDE" w:rsidP="00843439">
      <w:pPr>
        <w:jc w:val="both"/>
        <w:rPr>
          <w:rFonts w:ascii="Times New Roman" w:hAnsi="Times New Roman"/>
          <w:snapToGrid w:val="0"/>
          <w:sz w:val="24"/>
          <w:szCs w:val="24"/>
        </w:rPr>
      </w:pPr>
    </w:p>
    <w:p w:rsidR="00F32DDE" w:rsidRDefault="00F32DDE" w:rsidP="00843439">
      <w:pPr>
        <w:jc w:val="both"/>
        <w:rPr>
          <w:rFonts w:ascii="Times New Roman" w:hAnsi="Times New Roman"/>
          <w:snapToGrid w:val="0"/>
          <w:sz w:val="24"/>
          <w:szCs w:val="24"/>
        </w:rPr>
      </w:pPr>
    </w:p>
    <w:p w:rsidR="00F32DDE" w:rsidRPr="00220BAA" w:rsidRDefault="00F32DDE" w:rsidP="00843439">
      <w:pPr>
        <w:jc w:val="both"/>
        <w:rPr>
          <w:rFonts w:ascii="Times New Roman" w:hAnsi="Times New Roman"/>
          <w:snapToGrid w:val="0"/>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lastRenderedPageBreak/>
        <w:t>SIGNATURES</w:t>
      </w:r>
    </w:p>
    <w:p w:rsidR="000D7685" w:rsidRPr="00B73AC1"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4253"/>
      </w:tblGrid>
      <w:tr w:rsidR="000D7685" w:rsidRPr="00B73AC1" w:rsidTr="00B73AC1">
        <w:tc>
          <w:tcPr>
            <w:tcW w:w="4644" w:type="dxa"/>
          </w:tcPr>
          <w:p w:rsidR="000D7685" w:rsidRPr="00B73AC1" w:rsidRDefault="000D7685" w:rsidP="00B73AC1">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0D7685" w:rsidRPr="00B73AC1" w:rsidRDefault="000D7685" w:rsidP="00B73AC1">
            <w:pPr>
              <w:tabs>
                <w:tab w:val="left" w:pos="-142"/>
                <w:tab w:val="left" w:pos="0"/>
                <w:tab w:val="left" w:pos="10977"/>
              </w:tabs>
              <w:jc w:val="both"/>
              <w:rPr>
                <w:rFonts w:ascii="Times New Roman" w:hAnsi="Times New Roman"/>
                <w:sz w:val="24"/>
              </w:rPr>
            </w:pPr>
            <w:r w:rsidRPr="00B73AC1">
              <w:rPr>
                <w:rFonts w:ascii="Times New Roman" w:hAnsi="Times New Roman"/>
                <w:sz w:val="24"/>
              </w:rPr>
              <w:t>[</w:t>
            </w:r>
            <w:r w:rsidRPr="00B73AC1">
              <w:rPr>
                <w:rFonts w:ascii="Times New Roman" w:hAnsi="Times New Roman"/>
                <w:i/>
                <w:sz w:val="24"/>
              </w:rPr>
              <w:t>Company name</w:t>
            </w:r>
            <w:r w:rsidRPr="00B73AC1">
              <w:rPr>
                <w:rFonts w:ascii="Times New Roman" w:hAnsi="Times New Roman"/>
                <w:sz w:val="24"/>
              </w:rPr>
              <w:t>/forename/surname/function]</w:t>
            </w:r>
          </w:p>
          <w:p w:rsidR="000D7685" w:rsidRPr="00B73AC1" w:rsidRDefault="000D7685" w:rsidP="00B73AC1">
            <w:pPr>
              <w:tabs>
                <w:tab w:val="left" w:pos="0"/>
                <w:tab w:val="left" w:pos="510"/>
                <w:tab w:val="left" w:pos="10977"/>
              </w:tabs>
              <w:jc w:val="both"/>
              <w:rPr>
                <w:rFonts w:ascii="Times New Roman" w:hAnsi="Times New Roman"/>
                <w:sz w:val="24"/>
              </w:rPr>
            </w:pPr>
          </w:p>
          <w:p w:rsidR="00D55663" w:rsidRDefault="00D55663" w:rsidP="00B73AC1">
            <w:pPr>
              <w:tabs>
                <w:tab w:val="left" w:pos="0"/>
                <w:tab w:val="left" w:pos="510"/>
                <w:tab w:val="left" w:pos="10977"/>
              </w:tabs>
              <w:jc w:val="both"/>
              <w:rPr>
                <w:rFonts w:ascii="Times New Roman" w:hAnsi="Times New Roman"/>
                <w:sz w:val="24"/>
              </w:rPr>
            </w:pPr>
          </w:p>
          <w:p w:rsidR="00D55663" w:rsidRDefault="00D55663" w:rsidP="00B73AC1">
            <w:pPr>
              <w:tabs>
                <w:tab w:val="left" w:pos="0"/>
                <w:tab w:val="left" w:pos="510"/>
                <w:tab w:val="left" w:pos="10977"/>
              </w:tabs>
              <w:jc w:val="both"/>
              <w:rPr>
                <w:rFonts w:ascii="Times New Roman" w:hAnsi="Times New Roman"/>
                <w:sz w:val="24"/>
              </w:rPr>
            </w:pPr>
          </w:p>
          <w:p w:rsidR="00D55663" w:rsidRDefault="00D55663" w:rsidP="00B73AC1">
            <w:pPr>
              <w:tabs>
                <w:tab w:val="left" w:pos="0"/>
                <w:tab w:val="left" w:pos="510"/>
                <w:tab w:val="left" w:pos="10977"/>
              </w:tabs>
              <w:jc w:val="both"/>
              <w:rPr>
                <w:rFonts w:ascii="Times New Roman" w:hAnsi="Times New Roman"/>
                <w:sz w:val="24"/>
              </w:rPr>
            </w:pPr>
          </w:p>
          <w:p w:rsidR="00D55663" w:rsidRDefault="00D55663" w:rsidP="00B73AC1">
            <w:pPr>
              <w:tabs>
                <w:tab w:val="left" w:pos="0"/>
                <w:tab w:val="left" w:pos="510"/>
                <w:tab w:val="left" w:pos="10977"/>
              </w:tabs>
              <w:jc w:val="both"/>
              <w:rPr>
                <w:rFonts w:ascii="Times New Roman" w:hAnsi="Times New Roman"/>
                <w:sz w:val="24"/>
              </w:rPr>
            </w:pPr>
          </w:p>
          <w:p w:rsidR="00A54F70" w:rsidRDefault="00A54F70"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0D7685" w:rsidRPr="00B73AC1" w:rsidRDefault="000D7685" w:rsidP="00B73AC1">
            <w:pPr>
              <w:tabs>
                <w:tab w:val="left" w:pos="0"/>
                <w:tab w:val="left" w:pos="510"/>
                <w:tab w:val="left" w:pos="10977"/>
              </w:tabs>
              <w:jc w:val="both"/>
              <w:rPr>
                <w:rFonts w:ascii="Times New Roman" w:hAnsi="Times New Roman"/>
                <w:sz w:val="24"/>
              </w:rPr>
            </w:pPr>
          </w:p>
        </w:tc>
        <w:tc>
          <w:tcPr>
            <w:tcW w:w="4253" w:type="dxa"/>
          </w:tcPr>
          <w:p w:rsidR="000D7685" w:rsidRPr="00900263" w:rsidRDefault="000D7685" w:rsidP="00B73AC1">
            <w:pPr>
              <w:tabs>
                <w:tab w:val="left" w:pos="0"/>
                <w:tab w:val="left" w:pos="119"/>
                <w:tab w:val="left" w:pos="10977"/>
              </w:tabs>
              <w:jc w:val="both"/>
              <w:rPr>
                <w:rFonts w:ascii="Times New Roman" w:hAnsi="Times New Roman"/>
                <w:sz w:val="24"/>
                <w:szCs w:val="24"/>
              </w:rPr>
            </w:pPr>
            <w:r w:rsidRPr="00A54F70">
              <w:rPr>
                <w:rFonts w:ascii="Times New Roman" w:hAnsi="Times New Roman"/>
                <w:sz w:val="24"/>
                <w:szCs w:val="24"/>
              </w:rPr>
              <w:t>For the ITER Organization,</w:t>
            </w:r>
          </w:p>
          <w:p w:rsidR="00F32DDE" w:rsidRPr="00F32DDE" w:rsidRDefault="00F32DDE" w:rsidP="00DD0B3D">
            <w:pPr>
              <w:rPr>
                <w:rFonts w:ascii="Times New Roman" w:hAnsi="Times New Roman"/>
                <w:color w:val="000000"/>
                <w:sz w:val="24"/>
                <w:szCs w:val="24"/>
                <w:lang w:eastAsia="en-GB"/>
              </w:rPr>
            </w:pPr>
            <w:r w:rsidRPr="00F32DDE">
              <w:rPr>
                <w:rFonts w:ascii="Times New Roman" w:hAnsi="Times New Roman"/>
                <w:color w:val="000000"/>
                <w:sz w:val="24"/>
                <w:szCs w:val="24"/>
                <w:lang w:eastAsia="en-GB"/>
              </w:rPr>
              <w:t>William De Cat</w:t>
            </w:r>
            <w:r w:rsidR="002B287E" w:rsidRPr="00F32DDE">
              <w:rPr>
                <w:rFonts w:ascii="Times New Roman" w:hAnsi="Times New Roman"/>
                <w:color w:val="000000"/>
                <w:sz w:val="24"/>
                <w:szCs w:val="24"/>
                <w:lang w:eastAsia="en-GB"/>
              </w:rPr>
              <w:br/>
            </w:r>
            <w:r w:rsidRPr="00F32DDE">
              <w:rPr>
                <w:rFonts w:ascii="Times New Roman" w:hAnsi="Times New Roman"/>
                <w:color w:val="000000"/>
                <w:sz w:val="24"/>
                <w:szCs w:val="24"/>
                <w:lang w:eastAsia="en-GB"/>
              </w:rPr>
              <w:t>Section Leader</w:t>
            </w:r>
          </w:p>
          <w:p w:rsidR="000D7685" w:rsidRPr="00A54F70" w:rsidRDefault="002B287E" w:rsidP="00F32DDE">
            <w:pPr>
              <w:rPr>
                <w:rFonts w:ascii="Times New Roman" w:hAnsi="Times New Roman"/>
                <w:i/>
                <w:sz w:val="24"/>
                <w:szCs w:val="24"/>
              </w:rPr>
            </w:pPr>
            <w:r w:rsidRPr="00F32DDE">
              <w:rPr>
                <w:rFonts w:ascii="Times New Roman" w:hAnsi="Times New Roman"/>
                <w:color w:val="000000"/>
                <w:sz w:val="24"/>
                <w:szCs w:val="24"/>
                <w:lang w:eastAsia="en-GB"/>
              </w:rPr>
              <w:t>Procurement Construction, Assembly &amp; Logistics Section</w:t>
            </w:r>
            <w:r w:rsidRPr="00F32DDE">
              <w:rPr>
                <w:rFonts w:ascii="Times New Roman" w:hAnsi="Times New Roman"/>
                <w:sz w:val="24"/>
                <w:szCs w:val="24"/>
                <w:lang w:eastAsia="en-GB"/>
              </w:rPr>
              <w:br/>
            </w:r>
          </w:p>
          <w:p w:rsidR="000D7685" w:rsidRPr="00900263" w:rsidRDefault="000D7685" w:rsidP="00B73AC1">
            <w:pPr>
              <w:tabs>
                <w:tab w:val="left" w:pos="0"/>
                <w:tab w:val="left" w:pos="510"/>
                <w:tab w:val="left" w:pos="10977"/>
              </w:tabs>
              <w:jc w:val="both"/>
              <w:rPr>
                <w:rFonts w:ascii="Times New Roman" w:hAnsi="Times New Roman"/>
                <w:i/>
                <w:sz w:val="24"/>
                <w:szCs w:val="24"/>
              </w:rPr>
            </w:pPr>
          </w:p>
          <w:p w:rsidR="000D7685" w:rsidRPr="00900263" w:rsidRDefault="000D7685" w:rsidP="00B73AC1">
            <w:pPr>
              <w:tabs>
                <w:tab w:val="left" w:pos="0"/>
                <w:tab w:val="left" w:pos="510"/>
                <w:tab w:val="left" w:pos="10977"/>
              </w:tabs>
              <w:jc w:val="both"/>
              <w:rPr>
                <w:rFonts w:ascii="Times New Roman" w:hAnsi="Times New Roman"/>
                <w:sz w:val="24"/>
                <w:szCs w:val="24"/>
              </w:rPr>
            </w:pPr>
            <w:r w:rsidRPr="00900263">
              <w:rPr>
                <w:rFonts w:ascii="Times New Roman" w:hAnsi="Times New Roman"/>
                <w:sz w:val="24"/>
                <w:szCs w:val="24"/>
              </w:rPr>
              <w:t>Signature[s]:_____________________</w:t>
            </w:r>
          </w:p>
          <w:p w:rsidR="000D7685" w:rsidRPr="00900263" w:rsidRDefault="000D7685" w:rsidP="00B73AC1">
            <w:pPr>
              <w:tabs>
                <w:tab w:val="left" w:pos="0"/>
                <w:tab w:val="left" w:pos="510"/>
                <w:tab w:val="left" w:pos="10977"/>
              </w:tabs>
              <w:jc w:val="both"/>
              <w:rPr>
                <w:rFonts w:ascii="Times New Roman" w:hAnsi="Times New Roman"/>
                <w:sz w:val="24"/>
                <w:szCs w:val="24"/>
              </w:rPr>
            </w:pPr>
          </w:p>
        </w:tc>
      </w:tr>
      <w:tr w:rsidR="000D7685" w:rsidRPr="00B73AC1" w:rsidTr="00B73AC1">
        <w:tc>
          <w:tcPr>
            <w:tcW w:w="4644" w:type="dxa"/>
          </w:tcPr>
          <w:p w:rsidR="00F32DDE" w:rsidRDefault="000D7685" w:rsidP="00B73AC1">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 xml:space="preserve">Done at [             ], </w:t>
            </w:r>
          </w:p>
          <w:p w:rsidR="00F32DDE" w:rsidRDefault="00F32DDE" w:rsidP="00B73AC1">
            <w:pPr>
              <w:tabs>
                <w:tab w:val="left" w:pos="0"/>
                <w:tab w:val="left" w:pos="510"/>
                <w:tab w:val="left" w:pos="10977"/>
              </w:tabs>
              <w:spacing w:after="120"/>
              <w:jc w:val="both"/>
              <w:rPr>
                <w:rFonts w:ascii="Times New Roman" w:hAnsi="Times New Roman"/>
                <w:sz w:val="24"/>
              </w:rPr>
            </w:pPr>
          </w:p>
          <w:p w:rsidR="000D7685" w:rsidRPr="00B73AC1" w:rsidRDefault="00F32DDE" w:rsidP="00F32DDE">
            <w:pPr>
              <w:tabs>
                <w:tab w:val="left" w:pos="0"/>
                <w:tab w:val="left" w:pos="510"/>
                <w:tab w:val="left" w:pos="10977"/>
              </w:tabs>
              <w:spacing w:after="120"/>
              <w:jc w:val="both"/>
              <w:rPr>
                <w:rFonts w:ascii="Times New Roman" w:hAnsi="Times New Roman"/>
                <w:sz w:val="24"/>
              </w:rPr>
            </w:pPr>
            <w:r>
              <w:rPr>
                <w:rFonts w:ascii="Times New Roman" w:hAnsi="Times New Roman"/>
                <w:sz w:val="24"/>
              </w:rPr>
              <w:t>D</w:t>
            </w:r>
            <w:r w:rsidR="000D7685" w:rsidRPr="00B73AC1">
              <w:rPr>
                <w:rFonts w:ascii="Times New Roman" w:hAnsi="Times New Roman"/>
                <w:sz w:val="24"/>
              </w:rPr>
              <w:t>ate</w:t>
            </w:r>
            <w:r>
              <w:rPr>
                <w:rFonts w:ascii="Times New Roman" w:hAnsi="Times New Roman"/>
                <w:sz w:val="24"/>
              </w:rPr>
              <w:t xml:space="preserve">: </w:t>
            </w:r>
          </w:p>
        </w:tc>
        <w:tc>
          <w:tcPr>
            <w:tcW w:w="4253" w:type="dxa"/>
          </w:tcPr>
          <w:p w:rsidR="00F32DDE" w:rsidRDefault="000D7685" w:rsidP="00B73AC1">
            <w:pPr>
              <w:tabs>
                <w:tab w:val="left" w:pos="0"/>
                <w:tab w:val="left" w:pos="510"/>
                <w:tab w:val="left" w:pos="10977"/>
              </w:tabs>
              <w:spacing w:after="120"/>
              <w:jc w:val="both"/>
              <w:rPr>
                <w:rFonts w:ascii="Times New Roman" w:hAnsi="Times New Roman"/>
                <w:sz w:val="24"/>
                <w:szCs w:val="24"/>
              </w:rPr>
            </w:pPr>
            <w:r w:rsidRPr="00F32DDE">
              <w:rPr>
                <w:rFonts w:ascii="Times New Roman" w:hAnsi="Times New Roman"/>
                <w:sz w:val="24"/>
                <w:szCs w:val="24"/>
              </w:rPr>
              <w:t xml:space="preserve">Done at </w:t>
            </w:r>
            <w:r w:rsidRPr="00F32DDE">
              <w:rPr>
                <w:rFonts w:ascii="Times New Roman" w:hAnsi="Times New Roman"/>
                <w:sz w:val="24"/>
                <w:szCs w:val="24"/>
                <w:shd w:val="clear" w:color="auto" w:fill="FFFF00"/>
              </w:rPr>
              <w:t>St. Paul Lez Durance</w:t>
            </w:r>
            <w:r w:rsidRPr="00900263">
              <w:rPr>
                <w:rFonts w:ascii="Times New Roman" w:hAnsi="Times New Roman"/>
                <w:sz w:val="24"/>
                <w:szCs w:val="24"/>
              </w:rPr>
              <w:t xml:space="preserve"> ,</w:t>
            </w:r>
          </w:p>
          <w:p w:rsidR="00F32DDE" w:rsidRDefault="00F32DDE" w:rsidP="00B73AC1">
            <w:pPr>
              <w:tabs>
                <w:tab w:val="left" w:pos="0"/>
                <w:tab w:val="left" w:pos="510"/>
                <w:tab w:val="left" w:pos="10977"/>
              </w:tabs>
              <w:spacing w:after="120"/>
              <w:jc w:val="both"/>
              <w:rPr>
                <w:rFonts w:ascii="Times New Roman" w:hAnsi="Times New Roman"/>
                <w:sz w:val="24"/>
                <w:szCs w:val="24"/>
              </w:rPr>
            </w:pPr>
          </w:p>
          <w:p w:rsidR="000D7685" w:rsidRPr="00900263" w:rsidRDefault="00F32DDE" w:rsidP="00F32DDE">
            <w:pPr>
              <w:tabs>
                <w:tab w:val="left" w:pos="0"/>
                <w:tab w:val="left" w:pos="510"/>
                <w:tab w:val="left" w:pos="10977"/>
              </w:tabs>
              <w:spacing w:after="120"/>
              <w:jc w:val="both"/>
              <w:rPr>
                <w:rFonts w:ascii="Times New Roman" w:hAnsi="Times New Roman"/>
                <w:sz w:val="24"/>
                <w:szCs w:val="24"/>
              </w:rPr>
            </w:pPr>
            <w:r>
              <w:rPr>
                <w:rFonts w:ascii="Times New Roman" w:hAnsi="Times New Roman"/>
                <w:sz w:val="24"/>
                <w:szCs w:val="24"/>
              </w:rPr>
              <w:t>Date:</w:t>
            </w:r>
          </w:p>
        </w:tc>
      </w:tr>
    </w:tbl>
    <w:p w:rsidR="000D7685" w:rsidRPr="00B73AC1" w:rsidRDefault="000D7685" w:rsidP="000D7685">
      <w:pPr>
        <w:tabs>
          <w:tab w:val="left" w:pos="0"/>
          <w:tab w:val="left" w:pos="510"/>
          <w:tab w:val="left" w:pos="10977"/>
        </w:tabs>
        <w:spacing w:after="120"/>
        <w:jc w:val="both"/>
        <w:outlineLvl w:val="0"/>
        <w:rPr>
          <w:rFonts w:ascii="Times New Roman" w:hAnsi="Times New Roman"/>
          <w:sz w:val="24"/>
        </w:rPr>
      </w:pPr>
    </w:p>
    <w:p w:rsidR="00DB172F" w:rsidRPr="00220BAA" w:rsidRDefault="000D7685" w:rsidP="00DA04B7">
      <w:pPr>
        <w:jc w:val="both"/>
        <w:rPr>
          <w:rFonts w:ascii="Times New Roman" w:hAnsi="Times New Roman"/>
          <w:sz w:val="24"/>
          <w:szCs w:val="24"/>
        </w:rPr>
      </w:pPr>
      <w:r w:rsidRPr="00B73AC1">
        <w:rPr>
          <w:rFonts w:ascii="Times New Roman" w:hAnsi="Times New Roman"/>
          <w:sz w:val="24"/>
        </w:rPr>
        <w:t>In duplicate in English.</w:t>
      </w:r>
    </w:p>
    <w:sectPr w:rsidR="00DB172F" w:rsidRPr="00220BAA" w:rsidSect="0060328A">
      <w:headerReference w:type="default" r:id="rId10"/>
      <w:footerReference w:type="default" r:id="rId11"/>
      <w:headerReference w:type="first" r:id="rId12"/>
      <w:footerReference w:type="first" r:id="rId13"/>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65B" w:rsidRDefault="00AB665B" w:rsidP="00622EA0">
      <w:pPr>
        <w:spacing w:line="240" w:lineRule="auto"/>
      </w:pPr>
      <w:r>
        <w:separator/>
      </w:r>
    </w:p>
  </w:endnote>
  <w:endnote w:type="continuationSeparator" w:id="0">
    <w:p w:rsidR="00AB665B" w:rsidRDefault="00AB665B"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TimesNewRomanPS-Bold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2"/>
      <w:gridCol w:w="3166"/>
      <w:gridCol w:w="3190"/>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900263" w:rsidRDefault="00A75A16" w:rsidP="00F24714">
          <w:pPr>
            <w:pStyle w:val="Footer"/>
            <w:tabs>
              <w:tab w:val="clear" w:pos="4680"/>
              <w:tab w:val="clear" w:pos="9360"/>
            </w:tabs>
            <w:ind w:right="360"/>
            <w:jc w:val="center"/>
            <w:rPr>
              <w:rStyle w:val="PageNumber"/>
              <w:rFonts w:ascii="Times New Roman" w:hAnsi="Times New Roman"/>
            </w:rPr>
          </w:pPr>
          <w:r w:rsidRPr="00900263">
            <w:rPr>
              <w:rFonts w:ascii="Times New Roman" w:hAnsi="Times New Roman"/>
            </w:rPr>
            <w:t xml:space="preserve">Page </w:t>
          </w:r>
          <w:r w:rsidRPr="00900263">
            <w:rPr>
              <w:rStyle w:val="PageNumber"/>
              <w:rFonts w:ascii="Times New Roman" w:hAnsi="Times New Roman"/>
            </w:rPr>
            <w:fldChar w:fldCharType="begin"/>
          </w:r>
          <w:r w:rsidRPr="00900263">
            <w:rPr>
              <w:rStyle w:val="PageNumber"/>
              <w:rFonts w:ascii="Times New Roman" w:hAnsi="Times New Roman"/>
            </w:rPr>
            <w:instrText xml:space="preserve"> PAGE </w:instrText>
          </w:r>
          <w:r w:rsidRPr="00900263">
            <w:rPr>
              <w:rStyle w:val="PageNumber"/>
              <w:rFonts w:ascii="Times New Roman" w:hAnsi="Times New Roman"/>
            </w:rPr>
            <w:fldChar w:fldCharType="separate"/>
          </w:r>
          <w:r w:rsidR="00C978D8">
            <w:rPr>
              <w:rStyle w:val="PageNumber"/>
              <w:rFonts w:ascii="Times New Roman" w:hAnsi="Times New Roman"/>
              <w:noProof/>
            </w:rPr>
            <w:t>2</w:t>
          </w:r>
          <w:r w:rsidRPr="00900263">
            <w:rPr>
              <w:rStyle w:val="PageNumber"/>
              <w:rFonts w:ascii="Times New Roman" w:hAnsi="Times New Roman"/>
            </w:rPr>
            <w:fldChar w:fldCharType="end"/>
          </w:r>
          <w:r w:rsidRPr="00900263">
            <w:rPr>
              <w:rStyle w:val="PageNumber"/>
              <w:rFonts w:ascii="Times New Roman" w:hAnsi="Times New Roman"/>
            </w:rPr>
            <w:t xml:space="preserve"> of </w:t>
          </w:r>
          <w:r w:rsidRPr="00900263">
            <w:rPr>
              <w:rStyle w:val="PageNumber"/>
              <w:rFonts w:ascii="Times New Roman" w:hAnsi="Times New Roman"/>
            </w:rPr>
            <w:fldChar w:fldCharType="begin"/>
          </w:r>
          <w:r w:rsidRPr="00900263">
            <w:rPr>
              <w:rStyle w:val="PageNumber"/>
              <w:rFonts w:ascii="Times New Roman" w:hAnsi="Times New Roman"/>
            </w:rPr>
            <w:instrText xml:space="preserve"> NUMPAGES </w:instrText>
          </w:r>
          <w:r w:rsidRPr="00900263">
            <w:rPr>
              <w:rStyle w:val="PageNumber"/>
              <w:rFonts w:ascii="Times New Roman" w:hAnsi="Times New Roman"/>
            </w:rPr>
            <w:fldChar w:fldCharType="separate"/>
          </w:r>
          <w:r w:rsidR="00C978D8">
            <w:rPr>
              <w:rStyle w:val="PageNumber"/>
              <w:rFonts w:ascii="Times New Roman" w:hAnsi="Times New Roman"/>
              <w:noProof/>
            </w:rPr>
            <w:t>7</w:t>
          </w:r>
          <w:r w:rsidRPr="00900263">
            <w:rPr>
              <w:rStyle w:val="PageNumber"/>
              <w:rFonts w:ascii="Times New Roman" w:hAnsi="Times New Roman"/>
            </w:rPr>
            <w:fldChar w:fldCharType="end"/>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r w:rsidRPr="00F24714">
            <w:rPr>
              <w:rStyle w:val="PageNumber"/>
              <w:rFonts w:ascii="Garamond" w:hAnsi="Garamond"/>
              <w:i/>
              <w:color w:val="A6A6A6" w:themeColor="background1" w:themeShade="A6"/>
              <w:sz w:val="16"/>
              <w:szCs w:val="16"/>
            </w:rPr>
            <w:t>Template Reference: ITER_D_32G69C v2.</w:t>
          </w:r>
          <w:r w:rsidR="00C30C59">
            <w:rPr>
              <w:rStyle w:val="PageNumber"/>
              <w:rFonts w:ascii="Garamond" w:hAnsi="Garamond"/>
              <w:i/>
              <w:color w:val="A6A6A6" w:themeColor="background1" w:themeShade="A6"/>
              <w:sz w:val="16"/>
              <w:szCs w:val="16"/>
            </w:rPr>
            <w:t>1</w:t>
          </w: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3169"/>
      <w:gridCol w:w="3183"/>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C978D8">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C978D8">
            <w:rPr>
              <w:rStyle w:val="PageNumber"/>
              <w:rFonts w:ascii="Times New Roman" w:hAnsi="Times New Roman"/>
              <w:noProof/>
            </w:rPr>
            <w:t>7</w:t>
          </w:r>
          <w:r w:rsidRPr="004B658F">
            <w:rPr>
              <w:rStyle w:val="PageNumber"/>
              <w:rFonts w:ascii="Times New Roman" w:hAnsi="Times New Roman"/>
            </w:rPr>
            <w:fldChar w:fldCharType="end"/>
          </w:r>
        </w:p>
      </w:tc>
      <w:tc>
        <w:tcPr>
          <w:tcW w:w="3238" w:type="dxa"/>
        </w:tcPr>
        <w:p w:rsidR="00D0261A" w:rsidRPr="00900263" w:rsidRDefault="004B658F" w:rsidP="00900263">
          <w:pPr>
            <w:pStyle w:val="Footer"/>
            <w:tabs>
              <w:tab w:val="clear" w:pos="4680"/>
              <w:tab w:val="clear" w:pos="9360"/>
            </w:tabs>
            <w:ind w:left="-97" w:right="142"/>
            <w:jc w:val="left"/>
            <w:rPr>
              <w:rFonts w:ascii="Times New Roman" w:hAnsi="Times New Roman"/>
              <w:color w:val="7F7F7F" w:themeColor="text1" w:themeTint="80"/>
              <w:sz w:val="16"/>
              <w:szCs w:val="16"/>
            </w:rPr>
          </w:pPr>
          <w:r w:rsidRPr="00900263">
            <w:rPr>
              <w:rStyle w:val="PageNumber"/>
              <w:rFonts w:ascii="Times New Roman" w:hAnsi="Times New Roman"/>
              <w:i/>
              <w:color w:val="7F7F7F" w:themeColor="text1" w:themeTint="80"/>
              <w:sz w:val="16"/>
              <w:szCs w:val="16"/>
            </w:rPr>
            <w:t>Template Reference: ITER_D_32G69C v2.</w:t>
          </w:r>
          <w:r w:rsidR="00B87AEA" w:rsidRPr="00900263">
            <w:rPr>
              <w:rStyle w:val="PageNumber"/>
              <w:rFonts w:ascii="Times New Roman" w:hAnsi="Times New Roman"/>
              <w:i/>
              <w:color w:val="7F7F7F" w:themeColor="text1" w:themeTint="80"/>
              <w:sz w:val="16"/>
              <w:szCs w:val="16"/>
            </w:rPr>
            <w:t>1</w:t>
          </w: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65B" w:rsidRDefault="00AB665B" w:rsidP="00622EA0">
      <w:pPr>
        <w:spacing w:line="240" w:lineRule="auto"/>
      </w:pPr>
      <w:r>
        <w:separator/>
      </w:r>
    </w:p>
  </w:footnote>
  <w:footnote w:type="continuationSeparator" w:id="0">
    <w:p w:rsidR="00AB665B" w:rsidRDefault="00AB665B"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2F23A1">
      <w:rPr>
        <w:rFonts w:ascii="Times New Roman" w:hAnsi="Times New Roman"/>
        <w:sz w:val="24"/>
        <w:szCs w:val="24"/>
      </w:rPr>
      <w:t>19</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SAP number</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DA04B7">
    <w:pPr>
      <w:pStyle w:val="Header"/>
    </w:pPr>
    <w:r>
      <w:rPr>
        <w:rFonts w:cs="Arial"/>
        <w:b/>
        <w:noProof/>
        <w:color w:val="808080"/>
        <w:sz w:val="15"/>
        <w:szCs w:val="15"/>
        <w:lang w:val="en-GB" w:eastAsia="zh-CN"/>
      </w:rPr>
      <w:drawing>
        <wp:anchor distT="0" distB="0" distL="114300" distR="114300" simplePos="0" relativeHeight="251659264"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D91485"/>
    <w:multiLevelType w:val="hybridMultilevel"/>
    <w:tmpl w:val="6E46FACE"/>
    <w:lvl w:ilvl="0" w:tplc="D6066558">
      <w:start w:val="1"/>
      <w:numFmt w:val="lowerRoman"/>
      <w:lvlText w:val="(%1)"/>
      <w:lvlJc w:val="left"/>
      <w:pPr>
        <w:ind w:left="1440" w:hanging="108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2"/>
  </w:num>
  <w:num w:numId="5">
    <w:abstractNumId w:val="0"/>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14992"/>
    <w:rsid w:val="0001794A"/>
    <w:rsid w:val="000251EB"/>
    <w:rsid w:val="00052393"/>
    <w:rsid w:val="00073910"/>
    <w:rsid w:val="0008027E"/>
    <w:rsid w:val="000A618A"/>
    <w:rsid w:val="000B0043"/>
    <w:rsid w:val="000B15FB"/>
    <w:rsid w:val="000B2829"/>
    <w:rsid w:val="000D00AE"/>
    <w:rsid w:val="000D7685"/>
    <w:rsid w:val="000E21CD"/>
    <w:rsid w:val="000E3935"/>
    <w:rsid w:val="000E3DF0"/>
    <w:rsid w:val="000F362A"/>
    <w:rsid w:val="000F41F0"/>
    <w:rsid w:val="0011300F"/>
    <w:rsid w:val="001262F5"/>
    <w:rsid w:val="00135B6D"/>
    <w:rsid w:val="00137E46"/>
    <w:rsid w:val="0014163C"/>
    <w:rsid w:val="001627FB"/>
    <w:rsid w:val="001769CC"/>
    <w:rsid w:val="001802B5"/>
    <w:rsid w:val="00181112"/>
    <w:rsid w:val="00181970"/>
    <w:rsid w:val="001A2831"/>
    <w:rsid w:val="001C2353"/>
    <w:rsid w:val="001C42BD"/>
    <w:rsid w:val="001D504E"/>
    <w:rsid w:val="001E2D37"/>
    <w:rsid w:val="001F6D5F"/>
    <w:rsid w:val="00204412"/>
    <w:rsid w:val="002110A9"/>
    <w:rsid w:val="00220BAA"/>
    <w:rsid w:val="002568CE"/>
    <w:rsid w:val="0025734C"/>
    <w:rsid w:val="002973DE"/>
    <w:rsid w:val="002B274B"/>
    <w:rsid w:val="002B287E"/>
    <w:rsid w:val="002C6F3E"/>
    <w:rsid w:val="002C7621"/>
    <w:rsid w:val="002D00B8"/>
    <w:rsid w:val="002D1D5D"/>
    <w:rsid w:val="002F23A1"/>
    <w:rsid w:val="002F2534"/>
    <w:rsid w:val="002F7F87"/>
    <w:rsid w:val="00314730"/>
    <w:rsid w:val="00340C52"/>
    <w:rsid w:val="00343EC8"/>
    <w:rsid w:val="00351703"/>
    <w:rsid w:val="003B52CC"/>
    <w:rsid w:val="003E6E50"/>
    <w:rsid w:val="003F383F"/>
    <w:rsid w:val="0042601D"/>
    <w:rsid w:val="00436062"/>
    <w:rsid w:val="00445C48"/>
    <w:rsid w:val="00494ACF"/>
    <w:rsid w:val="004B658F"/>
    <w:rsid w:val="004E5715"/>
    <w:rsid w:val="00513AF3"/>
    <w:rsid w:val="00541274"/>
    <w:rsid w:val="00557219"/>
    <w:rsid w:val="00567A4E"/>
    <w:rsid w:val="005979D2"/>
    <w:rsid w:val="005D1B6C"/>
    <w:rsid w:val="005F0CF2"/>
    <w:rsid w:val="005F32BA"/>
    <w:rsid w:val="0060328A"/>
    <w:rsid w:val="00605D4D"/>
    <w:rsid w:val="00613C92"/>
    <w:rsid w:val="006140D1"/>
    <w:rsid w:val="00621F34"/>
    <w:rsid w:val="00622EA0"/>
    <w:rsid w:val="006414F6"/>
    <w:rsid w:val="006673BB"/>
    <w:rsid w:val="006820E3"/>
    <w:rsid w:val="006A2375"/>
    <w:rsid w:val="006C2DDB"/>
    <w:rsid w:val="006D3CFB"/>
    <w:rsid w:val="006D5277"/>
    <w:rsid w:val="006E315C"/>
    <w:rsid w:val="006F0405"/>
    <w:rsid w:val="006F0EAD"/>
    <w:rsid w:val="00705441"/>
    <w:rsid w:val="00715E1F"/>
    <w:rsid w:val="00723172"/>
    <w:rsid w:val="007237A1"/>
    <w:rsid w:val="007550F1"/>
    <w:rsid w:val="00775B7F"/>
    <w:rsid w:val="00783995"/>
    <w:rsid w:val="007C2A73"/>
    <w:rsid w:val="007D14A0"/>
    <w:rsid w:val="007E200E"/>
    <w:rsid w:val="00843439"/>
    <w:rsid w:val="00843793"/>
    <w:rsid w:val="008510E4"/>
    <w:rsid w:val="008648AE"/>
    <w:rsid w:val="00874B49"/>
    <w:rsid w:val="00893F78"/>
    <w:rsid w:val="008A02E4"/>
    <w:rsid w:val="008A297B"/>
    <w:rsid w:val="008A790A"/>
    <w:rsid w:val="008B59CC"/>
    <w:rsid w:val="00900263"/>
    <w:rsid w:val="00907707"/>
    <w:rsid w:val="009363CC"/>
    <w:rsid w:val="009609CF"/>
    <w:rsid w:val="00972463"/>
    <w:rsid w:val="00975E2F"/>
    <w:rsid w:val="00977F17"/>
    <w:rsid w:val="009850B3"/>
    <w:rsid w:val="00991516"/>
    <w:rsid w:val="009A547F"/>
    <w:rsid w:val="009A58F4"/>
    <w:rsid w:val="009B4DD1"/>
    <w:rsid w:val="009D00F8"/>
    <w:rsid w:val="009E2EEC"/>
    <w:rsid w:val="009E3FC0"/>
    <w:rsid w:val="00A03641"/>
    <w:rsid w:val="00A037B1"/>
    <w:rsid w:val="00A173C4"/>
    <w:rsid w:val="00A21386"/>
    <w:rsid w:val="00A30FAE"/>
    <w:rsid w:val="00A45AD9"/>
    <w:rsid w:val="00A53EF7"/>
    <w:rsid w:val="00A54F70"/>
    <w:rsid w:val="00A62327"/>
    <w:rsid w:val="00A71DC0"/>
    <w:rsid w:val="00A75A16"/>
    <w:rsid w:val="00A83678"/>
    <w:rsid w:val="00A83841"/>
    <w:rsid w:val="00A90FF1"/>
    <w:rsid w:val="00AB665B"/>
    <w:rsid w:val="00AC09A9"/>
    <w:rsid w:val="00AE1B19"/>
    <w:rsid w:val="00AE3C32"/>
    <w:rsid w:val="00B30BB6"/>
    <w:rsid w:val="00B53B75"/>
    <w:rsid w:val="00B87AEA"/>
    <w:rsid w:val="00B96E9B"/>
    <w:rsid w:val="00BA22A1"/>
    <w:rsid w:val="00BB7F75"/>
    <w:rsid w:val="00C02902"/>
    <w:rsid w:val="00C07162"/>
    <w:rsid w:val="00C1186F"/>
    <w:rsid w:val="00C2063B"/>
    <w:rsid w:val="00C30C59"/>
    <w:rsid w:val="00C351FF"/>
    <w:rsid w:val="00C4183C"/>
    <w:rsid w:val="00C42C25"/>
    <w:rsid w:val="00C7054F"/>
    <w:rsid w:val="00C978D8"/>
    <w:rsid w:val="00D0261A"/>
    <w:rsid w:val="00D129B5"/>
    <w:rsid w:val="00D31199"/>
    <w:rsid w:val="00D4223B"/>
    <w:rsid w:val="00D55663"/>
    <w:rsid w:val="00D60A2C"/>
    <w:rsid w:val="00D65806"/>
    <w:rsid w:val="00D71950"/>
    <w:rsid w:val="00D76C56"/>
    <w:rsid w:val="00D7774A"/>
    <w:rsid w:val="00D9463C"/>
    <w:rsid w:val="00D96415"/>
    <w:rsid w:val="00DA04B7"/>
    <w:rsid w:val="00DB172F"/>
    <w:rsid w:val="00DB2711"/>
    <w:rsid w:val="00DB390A"/>
    <w:rsid w:val="00DC353A"/>
    <w:rsid w:val="00DD0B3D"/>
    <w:rsid w:val="00E0258D"/>
    <w:rsid w:val="00E07A6A"/>
    <w:rsid w:val="00E16BB0"/>
    <w:rsid w:val="00E45508"/>
    <w:rsid w:val="00E606BD"/>
    <w:rsid w:val="00E63371"/>
    <w:rsid w:val="00E715BD"/>
    <w:rsid w:val="00E77513"/>
    <w:rsid w:val="00EA03E7"/>
    <w:rsid w:val="00EA2FB1"/>
    <w:rsid w:val="00EB39A1"/>
    <w:rsid w:val="00ED591F"/>
    <w:rsid w:val="00EE1D70"/>
    <w:rsid w:val="00F03D43"/>
    <w:rsid w:val="00F12DE0"/>
    <w:rsid w:val="00F321A5"/>
    <w:rsid w:val="00F32DDE"/>
    <w:rsid w:val="00F60CB8"/>
    <w:rsid w:val="00F70002"/>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4CDD7E"/>
  <w15:docId w15:val="{CC09B726-2336-4609-9427-5BDA7430D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basedOn w:val="Normal"/>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DB128-9B31-49BD-92E1-79B76E26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1627</Words>
  <Characters>9278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Valerie EXT</dc:creator>
  <cp:lastModifiedBy>Liu Lijun</cp:lastModifiedBy>
  <cp:revision>6</cp:revision>
  <cp:lastPrinted>2017-04-07T11:36:00Z</cp:lastPrinted>
  <dcterms:created xsi:type="dcterms:W3CDTF">2018-08-27T12:21:00Z</dcterms:created>
  <dcterms:modified xsi:type="dcterms:W3CDTF">2019-07-22T08:47:00Z</dcterms:modified>
</cp:coreProperties>
</file>